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B4A37">
      <w:pPr>
        <w:spacing w:line="240" w:lineRule="auto"/>
        <w:ind w:firstLine="0" w:firstLineChars="0"/>
        <w:jc w:val="center"/>
        <w:rPr>
          <w:rFonts w:eastAsia="华文新魏" w:cs="Times New Roman"/>
          <w:color w:val="FF0000"/>
          <w:sz w:val="72"/>
          <w:szCs w:val="72"/>
        </w:rPr>
      </w:pPr>
      <w:r>
        <w:rPr>
          <w:rFonts w:eastAsia="华文新魏" w:cs="Times New Roman"/>
          <w:color w:val="FF0000"/>
          <w:sz w:val="72"/>
          <w:szCs w:val="72"/>
        </w:rPr>
        <w:t>专利技术分析简报</w:t>
      </w:r>
    </w:p>
    <w:p w14:paraId="12A2AE8A">
      <w:pPr>
        <w:spacing w:line="400" w:lineRule="exact"/>
        <w:jc w:val="center"/>
        <w:rPr>
          <w:rFonts w:cs="Times New Roman"/>
          <w:color w:val="auto"/>
          <w:sz w:val="21"/>
        </w:rPr>
      </w:pPr>
      <w:r>
        <w:rPr>
          <w:rFonts w:cs="Times New Roman"/>
          <w:color w:val="auto"/>
          <w:sz w:val="21"/>
        </w:rPr>
        <w:t>20</w:t>
      </w:r>
      <w:r>
        <w:rPr>
          <w:rFonts w:hint="eastAsia" w:cs="Times New Roman"/>
          <w:color w:val="auto"/>
          <w:sz w:val="21"/>
          <w:lang w:val="en-US" w:eastAsia="zh-CN"/>
        </w:rPr>
        <w:t>24</w:t>
      </w:r>
      <w:r>
        <w:rPr>
          <w:rFonts w:cs="Times New Roman"/>
          <w:color w:val="auto"/>
          <w:sz w:val="21"/>
        </w:rPr>
        <w:t>年第</w:t>
      </w:r>
      <w:r>
        <w:rPr>
          <w:rFonts w:hint="eastAsia" w:cs="Times New Roman"/>
          <w:color w:val="auto"/>
          <w:sz w:val="21"/>
          <w:lang w:val="en-US" w:eastAsia="zh-CN"/>
        </w:rPr>
        <w:t>3</w:t>
      </w:r>
      <w:r>
        <w:rPr>
          <w:rFonts w:cs="Times New Roman"/>
          <w:color w:val="auto"/>
          <w:sz w:val="21"/>
        </w:rPr>
        <w:t>期</w:t>
      </w:r>
    </w:p>
    <w:p w14:paraId="0DA2D9F3">
      <w:pPr>
        <w:spacing w:line="400" w:lineRule="exact"/>
        <w:jc w:val="center"/>
        <w:rPr>
          <w:rFonts w:cs="Times New Roman"/>
          <w:sz w:val="21"/>
        </w:rPr>
      </w:pPr>
    </w:p>
    <w:p w14:paraId="55053821">
      <w:pPr>
        <w:pBdr>
          <w:bottom w:val="single" w:color="FF0000" w:sz="18" w:space="0"/>
        </w:pBdr>
        <w:spacing w:line="400" w:lineRule="exact"/>
        <w:ind w:firstLine="0" w:firstLineChars="0"/>
        <w:rPr>
          <w:rFonts w:cs="Times New Roman"/>
          <w:sz w:val="21"/>
        </w:rPr>
      </w:pPr>
      <w:r>
        <w:rPr>
          <w:rFonts w:hint="eastAsia" w:cs="Times New Roman"/>
          <w:sz w:val="21"/>
        </w:rPr>
        <w:t>汕尾市专利导航服务基地</w:t>
      </w:r>
      <w:r>
        <w:rPr>
          <w:rFonts w:cs="Times New Roman"/>
          <w:sz w:val="21"/>
        </w:rPr>
        <w:t xml:space="preserve">       </w:t>
      </w:r>
      <w:r>
        <w:rPr>
          <w:rFonts w:hint="eastAsia" w:cs="Times New Roman"/>
          <w:sz w:val="21"/>
        </w:rPr>
        <w:t xml:space="preserve">    </w:t>
      </w:r>
      <w:r>
        <w:rPr>
          <w:rFonts w:cs="Times New Roman"/>
          <w:sz w:val="21"/>
        </w:rPr>
        <w:t xml:space="preserve">  </w:t>
      </w:r>
      <w:r>
        <w:rPr>
          <w:rFonts w:hint="eastAsia" w:cs="Times New Roman"/>
          <w:sz w:val="21"/>
          <w:lang w:val="en-US" w:eastAsia="zh-CN"/>
        </w:rPr>
        <w:t xml:space="preserve">   </w:t>
      </w:r>
      <w:r>
        <w:rPr>
          <w:rFonts w:cs="Times New Roman"/>
          <w:sz w:val="21"/>
        </w:rPr>
        <w:t xml:space="preserve">      </w:t>
      </w:r>
      <w:r>
        <w:rPr>
          <w:rFonts w:hint="eastAsia" w:cs="Times New Roman"/>
          <w:sz w:val="21"/>
        </w:rPr>
        <w:t xml:space="preserve"> </w:t>
      </w:r>
      <w:r>
        <w:rPr>
          <w:rFonts w:cs="Times New Roman"/>
          <w:sz w:val="21"/>
        </w:rPr>
        <w:t xml:space="preserve">   </w:t>
      </w:r>
      <w:r>
        <w:rPr>
          <w:rFonts w:hint="eastAsia" w:cs="Times New Roman"/>
          <w:sz w:val="21"/>
          <w:lang w:val="en-US" w:eastAsia="zh-CN"/>
        </w:rPr>
        <w:t xml:space="preserve">                   </w:t>
      </w:r>
      <w:r>
        <w:rPr>
          <w:rFonts w:cs="Times New Roman"/>
          <w:sz w:val="21"/>
        </w:rPr>
        <w:t>202</w:t>
      </w:r>
      <w:r>
        <w:rPr>
          <w:rFonts w:hint="eastAsia" w:cs="Times New Roman"/>
          <w:sz w:val="21"/>
          <w:lang w:val="en-US" w:eastAsia="zh-CN"/>
        </w:rPr>
        <w:t>4</w:t>
      </w:r>
      <w:r>
        <w:rPr>
          <w:rFonts w:cs="Times New Roman"/>
          <w:sz w:val="21"/>
        </w:rPr>
        <w:t>年</w:t>
      </w:r>
      <w:r>
        <w:rPr>
          <w:rFonts w:hint="eastAsia" w:cs="Times New Roman"/>
          <w:sz w:val="21"/>
          <w:lang w:val="en-US" w:eastAsia="zh-CN"/>
        </w:rPr>
        <w:t>10</w:t>
      </w:r>
      <w:r>
        <w:rPr>
          <w:rFonts w:cs="Times New Roman"/>
          <w:sz w:val="21"/>
        </w:rPr>
        <w:t>月</w:t>
      </w:r>
    </w:p>
    <w:p w14:paraId="45DD7AE4">
      <w:pPr>
        <w:spacing w:line="400" w:lineRule="exact"/>
        <w:ind w:firstLine="480"/>
        <w:rPr>
          <w:rFonts w:cs="Times New Roman" w:eastAsiaTheme="minorEastAsia"/>
          <w:sz w:val="21"/>
        </w:rPr>
      </w:pPr>
      <w:r>
        <w:rPr>
          <w:rFonts w:hint="eastAsia"/>
        </w:rPr>
        <mc:AlternateContent>
          <mc:Choice Requires="wps">
            <w:drawing>
              <wp:anchor distT="45720" distB="45720" distL="114300" distR="114300" simplePos="0" relativeHeight="251659264" behindDoc="0" locked="0" layoutInCell="1" allowOverlap="1">
                <wp:simplePos x="0" y="0"/>
                <wp:positionH relativeFrom="column">
                  <wp:posOffset>1905</wp:posOffset>
                </wp:positionH>
                <wp:positionV relativeFrom="paragraph">
                  <wp:posOffset>59055</wp:posOffset>
                </wp:positionV>
                <wp:extent cx="1151890" cy="347980"/>
                <wp:effectExtent l="4445" t="5080" r="5715" b="8890"/>
                <wp:wrapNone/>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51890" cy="347980"/>
                        </a:xfrm>
                        <a:prstGeom prst="rect">
                          <a:avLst/>
                        </a:prstGeom>
                        <a:solidFill>
                          <a:srgbClr val="FFFFFF"/>
                        </a:solidFill>
                        <a:ln w="9525">
                          <a:solidFill>
                            <a:srgbClr val="000000"/>
                          </a:solidFill>
                          <a:prstDash val="dash"/>
                          <a:miter lim="800000"/>
                        </a:ln>
                      </wps:spPr>
                      <wps:txbx>
                        <w:txbxContent>
                          <w:p w14:paraId="01419E47">
                            <w:pPr>
                              <w:spacing w:line="240" w:lineRule="auto"/>
                              <w:ind w:firstLine="0" w:firstLineChars="0"/>
                              <w:rPr>
                                <w:sz w:val="22"/>
                                <w:szCs w:val="28"/>
                              </w:rPr>
                            </w:pPr>
                            <w:r>
                              <w:rPr>
                                <w:rFonts w:hint="eastAsia" w:ascii="隶书" w:eastAsia="隶书"/>
                                <w:szCs w:val="32"/>
                              </w:rPr>
                              <w:t>专利技术分析</w:t>
                            </w:r>
                          </w:p>
                        </w:txbxContent>
                      </wps:txbx>
                      <wps:bodyPr rot="0" vert="horz" wrap="square" lIns="91440" tIns="45720" rIns="91440" bIns="45720" anchor="ctr" anchorCtr="0">
                        <a:noAutofit/>
                      </wps:bodyPr>
                    </wps:wsp>
                  </a:graphicData>
                </a:graphic>
              </wp:anchor>
            </w:drawing>
          </mc:Choice>
          <mc:Fallback>
            <w:pict>
              <v:shape id="文本框 2" o:spid="_x0000_s1026" o:spt="202" type="#_x0000_t202" style="position:absolute;left:0pt;margin-left:0.15pt;margin-top:4.65pt;height:27.4pt;width:90.7pt;z-index:251659264;v-text-anchor:middle;mso-width-relative:page;mso-height-relative:page;" fillcolor="#FFFFFF" filled="t" stroked="t" coordsize="21600,21600" o:gfxdata="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6HKZ9IAAAAFAQAADwAAAAAAAAABACAAAAAi&#10;AAAAZHJzL2Rvd25yZXYueG1sUEsBAhQAFAAAAAgAh07iQEIim8pJAgAAlwQAAA4AAAAAAAAAAQAg&#10;AAAAIQEAAGRycy9lMm9Eb2MueG1sUEsFBgAAAAAGAAYAWQEAANwFAAAAAA==&#10;">
                <v:fill on="t" focussize="0,0"/>
                <v:stroke color="#000000" miterlimit="8" joinstyle="miter" dashstyle="dash"/>
                <v:imagedata o:title=""/>
                <o:lock v:ext="edit" aspectratio="f"/>
                <v:textbox>
                  <w:txbxContent>
                    <w:p w14:paraId="01419E47">
                      <w:pPr>
                        <w:spacing w:line="240" w:lineRule="auto"/>
                        <w:ind w:firstLine="0" w:firstLineChars="0"/>
                        <w:rPr>
                          <w:sz w:val="22"/>
                          <w:szCs w:val="28"/>
                        </w:rPr>
                      </w:pPr>
                      <w:r>
                        <w:rPr>
                          <w:rFonts w:hint="eastAsia" w:ascii="隶书" w:eastAsia="隶书"/>
                          <w:szCs w:val="32"/>
                        </w:rPr>
                        <w:t>专利技术分析</w:t>
                      </w:r>
                    </w:p>
                  </w:txbxContent>
                </v:textbox>
              </v:shape>
            </w:pict>
          </mc:Fallback>
        </mc:AlternateContent>
      </w:r>
    </w:p>
    <w:p w14:paraId="753D22F1">
      <w:pPr>
        <w:ind w:firstLine="480"/>
      </w:pPr>
    </w:p>
    <w:p w14:paraId="595C059B">
      <w:pPr>
        <w:pStyle w:val="8"/>
        <w:ind w:firstLine="643"/>
      </w:pPr>
      <w:r>
        <w:rPr>
          <w:rFonts w:hint="eastAsia"/>
          <w:lang w:val="en-US" w:eastAsia="zh-CN"/>
        </w:rPr>
        <w:t>海洋风能发电装备制造</w:t>
      </w:r>
      <w:r>
        <w:rPr>
          <w:rFonts w:hint="eastAsia"/>
        </w:rPr>
        <w:t>专利信息分析</w:t>
      </w:r>
    </w:p>
    <w:p w14:paraId="1A426C43">
      <w:pPr>
        <w:ind w:firstLine="0" w:firstLineChars="0"/>
        <w:jc w:val="left"/>
        <w:rPr>
          <w:rFonts w:ascii="宋体" w:hAnsi="宋体" w:eastAsia="宋体" w:cs="宋体"/>
          <w:b/>
          <w:bCs/>
        </w:rPr>
      </w:pPr>
      <w:r>
        <w:rPr>
          <w:rFonts w:hint="eastAsia" w:ascii="宋体" w:hAnsi="宋体" w:eastAsia="宋体" w:cs="宋体"/>
          <w:b/>
          <w:bCs/>
        </w:rPr>
        <w:t>导语：</w:t>
      </w:r>
    </w:p>
    <w:p w14:paraId="5DA1A1E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海洋风能发电装备制造是指为海上风力发电站的建设和运营提供各种必需设备和设施的生产与制造过程。这些设备和设施涵盖了从风力发电机组的制造到输电系统、支撑结构、基础结构以及维护船舶和设备的生产与供应。</w:t>
      </w:r>
      <w:r>
        <w:rPr>
          <w:rFonts w:hint="eastAsia" w:ascii="仿宋" w:hAnsi="仿宋" w:cs="仿宋"/>
          <w:color w:val="000000"/>
          <w:kern w:val="0"/>
          <w:sz w:val="24"/>
          <w:szCs w:val="24"/>
          <w:lang w:val="en-US" w:eastAsia="zh-CN" w:bidi="ar"/>
        </w:rPr>
        <w:t>近年来，</w:t>
      </w:r>
      <w:r>
        <w:rPr>
          <w:rFonts w:hint="eastAsia" w:ascii="仿宋" w:hAnsi="仿宋" w:eastAsia="仿宋" w:cs="仿宋"/>
          <w:color w:val="000000"/>
          <w:kern w:val="0"/>
          <w:sz w:val="24"/>
          <w:szCs w:val="24"/>
          <w:lang w:val="en-US" w:eastAsia="zh-CN" w:bidi="ar"/>
        </w:rPr>
        <w:t>国家</w:t>
      </w:r>
      <w:r>
        <w:rPr>
          <w:rFonts w:hint="eastAsia" w:ascii="仿宋" w:hAnsi="仿宋" w:cs="仿宋"/>
          <w:color w:val="000000"/>
          <w:kern w:val="0"/>
          <w:sz w:val="24"/>
          <w:szCs w:val="24"/>
          <w:lang w:val="en-US" w:eastAsia="zh-CN" w:bidi="ar"/>
        </w:rPr>
        <w:t>先后</w:t>
      </w:r>
      <w:r>
        <w:rPr>
          <w:rFonts w:hint="eastAsia" w:ascii="仿宋" w:hAnsi="仿宋" w:eastAsia="仿宋" w:cs="仿宋"/>
          <w:color w:val="000000"/>
          <w:kern w:val="0"/>
          <w:sz w:val="24"/>
          <w:szCs w:val="24"/>
          <w:lang w:val="en-US" w:eastAsia="zh-CN" w:bidi="ar"/>
        </w:rPr>
        <w:t>出台了《“十四五”可再生能源发展规划》《加快电力装备绿色低碳创新发展行动计划》等</w:t>
      </w:r>
      <w:r>
        <w:rPr>
          <w:rFonts w:hint="eastAsia" w:ascii="仿宋" w:hAnsi="仿宋" w:cs="仿宋"/>
          <w:color w:val="000000"/>
          <w:kern w:val="0"/>
          <w:sz w:val="24"/>
          <w:szCs w:val="24"/>
          <w:lang w:val="en-US" w:eastAsia="zh-CN" w:bidi="ar"/>
        </w:rPr>
        <w:t>一系列</w:t>
      </w:r>
      <w:r>
        <w:rPr>
          <w:rFonts w:hint="eastAsia" w:ascii="仿宋" w:hAnsi="仿宋" w:eastAsia="仿宋" w:cs="仿宋"/>
          <w:color w:val="000000"/>
          <w:kern w:val="0"/>
          <w:sz w:val="24"/>
          <w:szCs w:val="24"/>
          <w:lang w:val="en-US" w:eastAsia="zh-CN" w:bidi="ar"/>
        </w:rPr>
        <w:t>规划文件，明确了海上风电的发展目标和重点任务，强调了要重点发展深远海、漂浮式海上风电装备等</w:t>
      </w:r>
      <w:r>
        <w:rPr>
          <w:rFonts w:hint="eastAsia" w:ascii="仿宋" w:hAnsi="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为海洋风能发电装备制造提供了明确的市场前景和发展方向。本文将从专利的角度对</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进行分析，明确本领域的技术优势，</w:t>
      </w:r>
      <w:r>
        <w:rPr>
          <w:rFonts w:hint="default" w:ascii="仿宋" w:hAnsi="仿宋" w:eastAsia="仿宋" w:cs="仿宋"/>
          <w:color w:val="000000"/>
          <w:kern w:val="0"/>
          <w:sz w:val="24"/>
          <w:szCs w:val="24"/>
          <w:lang w:val="en-US" w:eastAsia="zh-CN" w:bidi="ar"/>
        </w:rPr>
        <w:t>发现技术空白</w:t>
      </w:r>
      <w:r>
        <w:rPr>
          <w:rFonts w:hint="default" w:ascii="Times New Roman" w:hAnsi="Times New Roman" w:eastAsia="宋体" w:cs="Times New Roman"/>
          <w:color w:val="000000"/>
          <w:kern w:val="0"/>
          <w:sz w:val="24"/>
          <w:szCs w:val="24"/>
          <w:lang w:val="en-US" w:eastAsia="zh-CN" w:bidi="ar"/>
        </w:rPr>
        <w:t>/</w:t>
      </w:r>
      <w:r>
        <w:rPr>
          <w:rFonts w:hint="default" w:ascii="仿宋" w:hAnsi="仿宋" w:eastAsia="仿宋" w:cs="仿宋"/>
          <w:color w:val="000000"/>
          <w:kern w:val="0"/>
          <w:sz w:val="24"/>
          <w:szCs w:val="24"/>
          <w:lang w:val="en-US" w:eastAsia="zh-CN" w:bidi="ar"/>
        </w:rPr>
        <w:t>劣势点，探寻</w:t>
      </w:r>
      <w:r>
        <w:rPr>
          <w:rFonts w:hint="eastAsia" w:ascii="仿宋" w:hAnsi="仿宋" w:cs="仿宋"/>
          <w:color w:val="000000"/>
          <w:kern w:val="0"/>
          <w:sz w:val="24"/>
          <w:szCs w:val="24"/>
          <w:lang w:val="en-US" w:eastAsia="zh-CN" w:bidi="ar"/>
        </w:rPr>
        <w:t>海洋风能发电装备制造</w:t>
      </w:r>
      <w:r>
        <w:rPr>
          <w:rFonts w:hint="default" w:ascii="仿宋" w:hAnsi="仿宋" w:eastAsia="仿宋" w:cs="仿宋"/>
          <w:color w:val="000000"/>
          <w:kern w:val="0"/>
          <w:sz w:val="24"/>
          <w:szCs w:val="24"/>
          <w:lang w:val="en-US" w:eastAsia="zh-CN" w:bidi="ar"/>
        </w:rPr>
        <w:t>的潜在发展技术</w:t>
      </w:r>
      <w:r>
        <w:rPr>
          <w:rFonts w:hint="eastAsia" w:ascii="仿宋" w:hAnsi="仿宋" w:eastAsia="仿宋" w:cs="仿宋"/>
          <w:color w:val="000000"/>
          <w:kern w:val="0"/>
          <w:sz w:val="24"/>
          <w:szCs w:val="24"/>
          <w:lang w:val="en-US" w:eastAsia="zh-CN" w:bidi="ar"/>
        </w:rPr>
        <w:t>，以期为</w:t>
      </w:r>
      <w:r>
        <w:rPr>
          <w:rFonts w:hint="eastAsia" w:ascii="仿宋" w:hAnsi="仿宋" w:cs="仿宋"/>
          <w:color w:val="000000"/>
          <w:kern w:val="0"/>
          <w:sz w:val="24"/>
          <w:szCs w:val="24"/>
          <w:lang w:val="en-US" w:eastAsia="zh-CN" w:bidi="ar"/>
        </w:rPr>
        <w:t>海洋风能发电装备制造的研发和应用</w:t>
      </w:r>
      <w:r>
        <w:rPr>
          <w:rFonts w:hint="eastAsia" w:ascii="仿宋" w:hAnsi="仿宋" w:eastAsia="仿宋" w:cs="仿宋"/>
          <w:color w:val="000000"/>
          <w:kern w:val="0"/>
          <w:sz w:val="24"/>
          <w:szCs w:val="24"/>
          <w:lang w:val="en-US" w:eastAsia="zh-CN" w:bidi="ar"/>
        </w:rPr>
        <w:t>提供借鉴和参考</w:t>
      </w:r>
      <w:r>
        <w:rPr>
          <w:rFonts w:hint="eastAsia" w:ascii="仿宋" w:hAnsi="仿宋" w:cs="仿宋"/>
          <w:color w:val="000000"/>
          <w:kern w:val="0"/>
          <w:sz w:val="24"/>
          <w:szCs w:val="24"/>
          <w:lang w:val="en-US" w:eastAsia="zh-CN" w:bidi="ar"/>
        </w:rPr>
        <w:t>。</w:t>
      </w:r>
    </w:p>
    <w:p w14:paraId="75C362B1">
      <w:pPr>
        <w:pStyle w:val="3"/>
        <w:numPr>
          <w:ilvl w:val="0"/>
          <w:numId w:val="0"/>
        </w:numPr>
        <w:spacing w:before="156" w:after="156"/>
        <w:rPr>
          <w:sz w:val="24"/>
          <w:szCs w:val="28"/>
        </w:rPr>
      </w:pPr>
      <w:r>
        <w:rPr>
          <w:sz w:val="24"/>
          <w:szCs w:val="28"/>
        </w:rPr>
        <w:t>数据来源与说明</w:t>
      </w:r>
    </w:p>
    <w:p w14:paraId="7B00A392">
      <w:pPr>
        <w:ind w:firstLine="0" w:firstLineChars="0"/>
      </w:pPr>
      <w:r>
        <w:t>数据来源：ISPatent专利检索分析平台</w:t>
      </w:r>
    </w:p>
    <w:p w14:paraId="418D934C">
      <w:pPr>
        <w:ind w:firstLine="0" w:firstLineChars="0"/>
      </w:pPr>
      <w:r>
        <w:t>检索时间：202</w:t>
      </w:r>
      <w:r>
        <w:rPr>
          <w:rFonts w:hint="eastAsia"/>
          <w:lang w:val="en-US" w:eastAsia="zh-CN"/>
        </w:rPr>
        <w:t>4</w:t>
      </w:r>
      <w:r>
        <w:t>年</w:t>
      </w:r>
      <w:r>
        <w:rPr>
          <w:rFonts w:hint="eastAsia"/>
          <w:lang w:val="en-US" w:eastAsia="zh-CN"/>
        </w:rPr>
        <w:t>10</w:t>
      </w:r>
      <w:r>
        <w:t>月</w:t>
      </w:r>
      <w:r>
        <w:rPr>
          <w:rFonts w:hint="eastAsia"/>
          <w:lang w:val="en-US" w:eastAsia="zh-CN"/>
        </w:rPr>
        <w:t>12</w:t>
      </w:r>
      <w:r>
        <w:t>日</w:t>
      </w:r>
    </w:p>
    <w:p w14:paraId="7D39268D">
      <w:pPr>
        <w:ind w:firstLine="0" w:firstLineChars="0"/>
      </w:pPr>
      <w:r>
        <w:t>数据范围：</w:t>
      </w:r>
      <w:r>
        <w:rPr>
          <w:rFonts w:hint="eastAsia"/>
          <w:lang w:val="en-US" w:eastAsia="zh-CN"/>
        </w:rPr>
        <w:t>首次公开日</w:t>
      </w:r>
      <w:r>
        <w:rPr>
          <w:rFonts w:hint="eastAsia"/>
        </w:rPr>
        <w:t>在</w:t>
      </w:r>
      <w:r>
        <w:rPr>
          <w:rFonts w:hint="eastAsia"/>
          <w:color w:val="auto"/>
          <w:u w:val="none"/>
        </w:rPr>
        <w:t>200</w:t>
      </w:r>
      <w:r>
        <w:rPr>
          <w:rFonts w:hint="eastAsia"/>
          <w:color w:val="auto"/>
          <w:u w:val="none"/>
          <w:lang w:val="en-US" w:eastAsia="zh-CN"/>
        </w:rPr>
        <w:t>4</w:t>
      </w:r>
      <w:r>
        <w:rPr>
          <w:rFonts w:hint="eastAsia"/>
          <w:color w:val="auto"/>
          <w:u w:val="none"/>
        </w:rPr>
        <w:t>年1月1日至20</w:t>
      </w:r>
      <w:r>
        <w:rPr>
          <w:rFonts w:hint="eastAsia"/>
          <w:color w:val="auto"/>
          <w:u w:val="none"/>
          <w:lang w:val="en-US" w:eastAsia="zh-CN"/>
        </w:rPr>
        <w:t>24</w:t>
      </w:r>
      <w:r>
        <w:rPr>
          <w:rFonts w:hint="eastAsia"/>
          <w:color w:val="auto"/>
          <w:u w:val="none"/>
        </w:rPr>
        <w:t>年</w:t>
      </w:r>
      <w:r>
        <w:rPr>
          <w:rFonts w:hint="eastAsia"/>
          <w:color w:val="auto"/>
          <w:u w:val="none"/>
          <w:lang w:val="en-US" w:eastAsia="zh-CN"/>
        </w:rPr>
        <w:t>10</w:t>
      </w:r>
      <w:r>
        <w:rPr>
          <w:rFonts w:hint="eastAsia"/>
          <w:color w:val="auto"/>
          <w:u w:val="none"/>
        </w:rPr>
        <w:t>月</w:t>
      </w:r>
      <w:r>
        <w:rPr>
          <w:rFonts w:hint="eastAsia"/>
          <w:color w:val="auto"/>
          <w:u w:val="none"/>
          <w:lang w:val="en-US" w:eastAsia="zh-CN"/>
        </w:rPr>
        <w:t>12</w:t>
      </w:r>
      <w:r>
        <w:rPr>
          <w:rFonts w:hint="eastAsia"/>
          <w:color w:val="auto"/>
          <w:u w:val="none"/>
        </w:rPr>
        <w:t>日</w:t>
      </w:r>
      <w:r>
        <w:rPr>
          <w:rFonts w:hint="eastAsia"/>
        </w:rPr>
        <w:t>之间的数据</w:t>
      </w:r>
    </w:p>
    <w:p w14:paraId="4E80EFCA">
      <w:pPr>
        <w:pStyle w:val="2"/>
        <w:spacing w:before="156" w:after="312"/>
        <w:rPr>
          <w:rFonts w:hint="eastAsia"/>
        </w:rPr>
      </w:pPr>
      <w:r>
        <w:rPr>
          <w:rFonts w:hint="eastAsia"/>
          <w:lang w:val="en-US" w:eastAsia="zh-CN"/>
        </w:rPr>
        <w:t>海洋风能发电装备制造</w:t>
      </w:r>
      <w:r>
        <w:rPr>
          <w:rFonts w:hint="eastAsia"/>
        </w:rPr>
        <w:t>专利总体情况</w:t>
      </w:r>
    </w:p>
    <w:p w14:paraId="4BE69FD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lang w:val="en-US" w:eastAsia="zh-CN"/>
        </w:rPr>
        <w:fldChar w:fldCharType="begin"/>
      </w:r>
      <w:r>
        <w:rPr>
          <w:rFonts w:hint="eastAsia"/>
          <w:lang w:val="en-US" w:eastAsia="zh-CN"/>
        </w:rPr>
        <w:instrText xml:space="preserve"> REF _Ref28685 \h </w:instrText>
      </w:r>
      <w:r>
        <w:rPr>
          <w:rFonts w:hint="eastAsia"/>
          <w:lang w:val="en-US" w:eastAsia="zh-CN"/>
        </w:rPr>
        <w:fldChar w:fldCharType="separate"/>
      </w:r>
      <w:r>
        <w:t>表 1</w:t>
      </w:r>
      <w:r>
        <w:rPr>
          <w:rFonts w:hint="eastAsia"/>
          <w:lang w:val="en-US" w:eastAsia="zh-CN"/>
        </w:rPr>
        <w:fldChar w:fldCharType="end"/>
      </w:r>
      <w:r>
        <w:rPr>
          <w:rFonts w:hint="eastAsia"/>
          <w:lang w:val="en-US" w:eastAsia="zh-CN"/>
        </w:rPr>
        <w:t>展示了</w:t>
      </w:r>
      <w:r>
        <w:rPr>
          <w:rFonts w:hint="eastAsia" w:ascii="仿宋" w:hAnsi="仿宋" w:cs="仿宋"/>
          <w:color w:val="000000"/>
          <w:kern w:val="0"/>
          <w:sz w:val="24"/>
          <w:szCs w:val="24"/>
          <w:lang w:val="en-US" w:eastAsia="zh-CN" w:bidi="ar"/>
        </w:rPr>
        <w:t>海洋风能发电装备制造</w:t>
      </w:r>
      <w:r>
        <w:rPr>
          <w:rFonts w:hint="eastAsia"/>
          <w:lang w:val="en-US" w:eastAsia="zh-CN"/>
        </w:rPr>
        <w:t>专利总体情况。</w:t>
      </w:r>
      <w:r>
        <w:rPr>
          <w:rFonts w:hint="eastAsia" w:ascii="仿宋" w:hAnsi="仿宋" w:eastAsia="仿宋" w:cs="仿宋"/>
          <w:color w:val="000000"/>
          <w:kern w:val="0"/>
          <w:sz w:val="24"/>
          <w:szCs w:val="24"/>
          <w:lang w:val="en-US" w:eastAsia="zh-CN" w:bidi="ar"/>
        </w:rPr>
        <w:t>由表可知，近二十年来，全球</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的相关专利申请共计</w:t>
      </w:r>
      <w:r>
        <w:rPr>
          <w:rFonts w:hint="eastAsia" w:eastAsia="宋体" w:cs="Times New Roman"/>
          <w:color w:val="000000"/>
          <w:kern w:val="0"/>
          <w:sz w:val="24"/>
          <w:szCs w:val="24"/>
          <w:lang w:val="en-US" w:eastAsia="zh-CN" w:bidi="ar"/>
        </w:rPr>
        <w:t>18345</w:t>
      </w:r>
      <w:r>
        <w:rPr>
          <w:rFonts w:hint="eastAsia" w:ascii="仿宋" w:hAnsi="仿宋" w:eastAsia="仿宋" w:cs="仿宋"/>
          <w:color w:val="000000"/>
          <w:kern w:val="0"/>
          <w:sz w:val="24"/>
          <w:szCs w:val="24"/>
          <w:lang w:val="en-US" w:eastAsia="zh-CN" w:bidi="ar"/>
        </w:rPr>
        <w:t>件，其中发明专利</w:t>
      </w:r>
      <w:r>
        <w:rPr>
          <w:rFonts w:hint="eastAsia" w:eastAsia="宋体" w:cs="Times New Roman"/>
          <w:color w:val="000000"/>
          <w:kern w:val="0"/>
          <w:sz w:val="24"/>
          <w:szCs w:val="24"/>
          <w:lang w:val="en-US" w:eastAsia="zh-CN" w:bidi="ar"/>
        </w:rPr>
        <w:t>12287</w:t>
      </w:r>
      <w:r>
        <w:rPr>
          <w:rFonts w:hint="eastAsia" w:ascii="仿宋" w:hAnsi="仿宋" w:eastAsia="仿宋" w:cs="仿宋"/>
          <w:color w:val="000000"/>
          <w:kern w:val="0"/>
          <w:sz w:val="24"/>
          <w:szCs w:val="24"/>
          <w:lang w:val="en-US" w:eastAsia="zh-CN" w:bidi="ar"/>
        </w:rPr>
        <w:t>件、实用新型专利</w:t>
      </w:r>
      <w:r>
        <w:rPr>
          <w:rFonts w:hint="eastAsia" w:eastAsia="宋体" w:cs="Times New Roman"/>
          <w:color w:val="000000"/>
          <w:kern w:val="0"/>
          <w:sz w:val="24"/>
          <w:szCs w:val="24"/>
          <w:lang w:val="en-US" w:eastAsia="zh-CN" w:bidi="ar"/>
        </w:rPr>
        <w:t>6058</w:t>
      </w:r>
      <w:r>
        <w:rPr>
          <w:rFonts w:hint="eastAsia" w:ascii="仿宋" w:hAnsi="仿宋" w:eastAsia="仿宋" w:cs="仿宋"/>
          <w:color w:val="000000"/>
          <w:kern w:val="0"/>
          <w:sz w:val="24"/>
          <w:szCs w:val="24"/>
          <w:lang w:val="en-US" w:eastAsia="zh-CN" w:bidi="ar"/>
        </w:rPr>
        <w:t>件，占比全球专利数</w:t>
      </w:r>
      <w:r>
        <w:rPr>
          <w:rFonts w:hint="eastAsia" w:eastAsia="宋体" w:cs="Times New Roman"/>
          <w:color w:val="000000"/>
          <w:kern w:val="0"/>
          <w:sz w:val="24"/>
          <w:szCs w:val="24"/>
          <w:lang w:val="en-US" w:eastAsia="zh-CN" w:bidi="ar"/>
        </w:rPr>
        <w:t>66.98</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eastAsia="宋体" w:cs="Times New Roman"/>
          <w:color w:val="000000"/>
          <w:kern w:val="0"/>
          <w:sz w:val="24"/>
          <w:szCs w:val="24"/>
          <w:lang w:val="en-US" w:eastAsia="zh-CN" w:bidi="ar"/>
        </w:rPr>
        <w:t>33.02</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专利授权</w:t>
      </w:r>
      <w:r>
        <w:rPr>
          <w:rFonts w:hint="eastAsia" w:eastAsia="宋体" w:cs="Times New Roman"/>
          <w:color w:val="000000"/>
          <w:kern w:val="0"/>
          <w:sz w:val="24"/>
          <w:szCs w:val="24"/>
          <w:lang w:val="en-US" w:eastAsia="zh-CN" w:bidi="ar"/>
        </w:rPr>
        <w:t>10855</w:t>
      </w:r>
      <w:r>
        <w:rPr>
          <w:rFonts w:hint="eastAsia" w:ascii="仿宋" w:hAnsi="仿宋" w:eastAsia="仿宋" w:cs="仿宋"/>
          <w:color w:val="000000"/>
          <w:kern w:val="0"/>
          <w:sz w:val="24"/>
          <w:szCs w:val="24"/>
          <w:lang w:val="en-US" w:eastAsia="zh-CN" w:bidi="ar"/>
        </w:rPr>
        <w:t>件，其中发明授权专利</w:t>
      </w:r>
      <w:r>
        <w:rPr>
          <w:rFonts w:hint="eastAsia" w:eastAsia="宋体" w:cs="Times New Roman"/>
          <w:color w:val="000000"/>
          <w:kern w:val="0"/>
          <w:sz w:val="24"/>
          <w:szCs w:val="24"/>
          <w:lang w:val="en-US" w:eastAsia="zh-CN" w:bidi="ar"/>
        </w:rPr>
        <w:t>4837</w:t>
      </w:r>
      <w:r>
        <w:rPr>
          <w:rFonts w:hint="eastAsia" w:ascii="仿宋" w:hAnsi="仿宋" w:eastAsia="仿宋" w:cs="仿宋"/>
          <w:color w:val="000000"/>
          <w:kern w:val="0"/>
          <w:sz w:val="24"/>
          <w:szCs w:val="24"/>
          <w:lang w:val="en-US" w:eastAsia="zh-CN" w:bidi="ar"/>
        </w:rPr>
        <w:t>件，占比</w:t>
      </w:r>
      <w:r>
        <w:rPr>
          <w:rFonts w:hint="eastAsia" w:eastAsia="宋体" w:cs="Times New Roman"/>
          <w:color w:val="000000"/>
          <w:kern w:val="0"/>
          <w:sz w:val="24"/>
          <w:szCs w:val="24"/>
          <w:lang w:val="en-US" w:eastAsia="zh-CN" w:bidi="ar"/>
        </w:rPr>
        <w:t>44.56</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，近</w:t>
      </w:r>
      <w:r>
        <w:rPr>
          <w:rFonts w:hint="default"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年全球发明专利</w:t>
      </w:r>
      <w:r>
        <w:rPr>
          <w:rFonts w:hint="eastAsia" w:ascii="仿宋" w:hAnsi="仿宋" w:cs="仿宋"/>
          <w:color w:val="000000"/>
          <w:kern w:val="0"/>
          <w:sz w:val="24"/>
          <w:szCs w:val="24"/>
          <w:lang w:val="en-US" w:eastAsia="zh-CN" w:bidi="ar"/>
        </w:rPr>
        <w:t>申请量</w:t>
      </w:r>
      <w:r>
        <w:rPr>
          <w:rFonts w:hint="eastAsia" w:ascii="仿宋" w:hAnsi="仿宋" w:eastAsia="仿宋" w:cs="仿宋"/>
          <w:color w:val="000000"/>
          <w:kern w:val="0"/>
          <w:sz w:val="24"/>
          <w:szCs w:val="24"/>
          <w:lang w:val="en-US" w:eastAsia="zh-CN" w:bidi="ar"/>
        </w:rPr>
        <w:t>为</w:t>
      </w:r>
      <w:r>
        <w:rPr>
          <w:rFonts w:hint="eastAsia" w:cs="Times New Roman"/>
          <w:color w:val="000000"/>
          <w:kern w:val="0"/>
          <w:sz w:val="24"/>
          <w:szCs w:val="24"/>
          <w:lang w:val="en-US" w:eastAsia="zh-CN" w:bidi="ar"/>
        </w:rPr>
        <w:t>10501</w:t>
      </w:r>
      <w:r>
        <w:rPr>
          <w:rFonts w:hint="default" w:ascii="Times New Roman" w:hAnsi="Times New Roman" w:cs="Times New Roman"/>
          <w:color w:val="000000"/>
          <w:kern w:val="0"/>
          <w:sz w:val="24"/>
          <w:szCs w:val="24"/>
          <w:lang w:val="en-US" w:eastAsia="zh-CN" w:bidi="ar"/>
        </w:rPr>
        <w:t>件</w:t>
      </w:r>
      <w:r>
        <w:rPr>
          <w:rFonts w:hint="eastAsia"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全球海洋风能发电装备制造领域的专利申请与授权情况呈现出该领域的技术研发具有高含金量，专利成果具有高品质</w:t>
      </w:r>
      <w:r>
        <w:rPr>
          <w:rFonts w:hint="eastAsia" w:ascii="仿宋" w:hAnsi="仿宋" w:cs="仿宋"/>
          <w:color w:val="000000"/>
          <w:kern w:val="0"/>
          <w:sz w:val="24"/>
          <w:szCs w:val="24"/>
          <w:lang w:val="en-US" w:eastAsia="zh-CN" w:bidi="ar"/>
        </w:rPr>
        <w:t>的特点</w:t>
      </w:r>
      <w:r>
        <w:rPr>
          <w:rFonts w:hint="eastAsia" w:ascii="仿宋" w:hAnsi="仿宋" w:eastAsia="仿宋" w:cs="仿宋"/>
          <w:color w:val="000000"/>
          <w:kern w:val="0"/>
          <w:sz w:val="24"/>
          <w:szCs w:val="24"/>
          <w:lang w:val="en-US" w:eastAsia="zh-CN" w:bidi="ar"/>
        </w:rPr>
        <w:t>。</w:t>
      </w:r>
    </w:p>
    <w:p w14:paraId="52B87B79">
      <w:pPr>
        <w:keepNext w:val="0"/>
        <w:keepLines w:val="0"/>
        <w:widowControl/>
        <w:suppressLineNumbers w:val="0"/>
        <w:jc w:val="left"/>
        <w:rPr>
          <w:rFonts w:hint="default"/>
          <w:lang w:val="en-US"/>
        </w:rPr>
      </w:pPr>
      <w:r>
        <w:rPr>
          <w:rFonts w:hint="eastAsia" w:ascii="仿宋" w:hAnsi="仿宋" w:eastAsia="仿宋" w:cs="仿宋"/>
          <w:color w:val="000000"/>
          <w:kern w:val="0"/>
          <w:sz w:val="24"/>
          <w:szCs w:val="24"/>
          <w:lang w:val="en-US" w:eastAsia="zh-CN" w:bidi="ar"/>
        </w:rPr>
        <w:t>中国</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专利申请共计</w:t>
      </w:r>
      <w:r>
        <w:rPr>
          <w:rFonts w:hint="eastAsia" w:eastAsia="宋体" w:cs="Times New Roman"/>
          <w:color w:val="000000"/>
          <w:kern w:val="0"/>
          <w:sz w:val="24"/>
          <w:szCs w:val="24"/>
          <w:lang w:val="en-US" w:eastAsia="zh-CN" w:bidi="ar"/>
        </w:rPr>
        <w:t>12651</w:t>
      </w:r>
      <w:r>
        <w:rPr>
          <w:rFonts w:hint="eastAsia" w:ascii="仿宋" w:hAnsi="仿宋" w:eastAsia="仿宋" w:cs="仿宋"/>
          <w:color w:val="000000"/>
          <w:kern w:val="0"/>
          <w:sz w:val="24"/>
          <w:szCs w:val="24"/>
          <w:lang w:val="en-US" w:eastAsia="zh-CN" w:bidi="ar"/>
        </w:rPr>
        <w:t>件，</w:t>
      </w:r>
      <w:r>
        <w:rPr>
          <w:rFonts w:ascii="仿宋" w:hAnsi="仿宋" w:eastAsia="仿宋" w:cs="仿宋"/>
          <w:color w:val="000000"/>
          <w:kern w:val="0"/>
          <w:sz w:val="24"/>
          <w:szCs w:val="24"/>
          <w:lang w:val="en-US" w:eastAsia="zh-CN" w:bidi="ar"/>
        </w:rPr>
        <w:t>占全球</w:t>
      </w:r>
      <w:r>
        <w:rPr>
          <w:rFonts w:hint="eastAsia" w:ascii="仿宋" w:hAnsi="仿宋" w:cs="仿宋"/>
          <w:color w:val="000000"/>
          <w:kern w:val="0"/>
          <w:sz w:val="24"/>
          <w:szCs w:val="24"/>
          <w:lang w:val="en-US" w:eastAsia="zh-CN" w:bidi="ar"/>
        </w:rPr>
        <w:t>海洋风能发电装备制造</w:t>
      </w:r>
      <w:r>
        <w:rPr>
          <w:rFonts w:ascii="仿宋" w:hAnsi="仿宋" w:eastAsia="仿宋" w:cs="仿宋"/>
          <w:color w:val="000000"/>
          <w:kern w:val="0"/>
          <w:sz w:val="24"/>
          <w:szCs w:val="24"/>
          <w:lang w:val="en-US" w:eastAsia="zh-CN" w:bidi="ar"/>
        </w:rPr>
        <w:t>专利总量</w:t>
      </w:r>
      <w:r>
        <w:rPr>
          <w:rFonts w:hint="eastAsia" w:eastAsia="宋体" w:cs="Times New Roman"/>
          <w:color w:val="000000"/>
          <w:kern w:val="0"/>
          <w:sz w:val="24"/>
          <w:szCs w:val="24"/>
          <w:lang w:val="en-US" w:eastAsia="zh-CN" w:bidi="ar"/>
        </w:rPr>
        <w:t>68.96</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，稳居全球首位。其中发明专利申请</w:t>
      </w:r>
      <w:r>
        <w:rPr>
          <w:rFonts w:hint="eastAsia" w:eastAsia="宋体" w:cs="Times New Roman"/>
          <w:color w:val="000000"/>
          <w:kern w:val="0"/>
          <w:sz w:val="24"/>
          <w:szCs w:val="24"/>
          <w:lang w:val="en-US" w:eastAsia="zh-CN" w:bidi="ar"/>
        </w:rPr>
        <w:t>6780</w:t>
      </w:r>
      <w:r>
        <w:rPr>
          <w:rFonts w:hint="eastAsia" w:ascii="仿宋" w:hAnsi="仿宋" w:eastAsia="仿宋" w:cs="仿宋"/>
          <w:color w:val="000000"/>
          <w:kern w:val="0"/>
          <w:sz w:val="24"/>
          <w:szCs w:val="24"/>
          <w:lang w:val="en-US" w:eastAsia="zh-CN" w:bidi="ar"/>
        </w:rPr>
        <w:t>件，占中国专利申请</w:t>
      </w:r>
      <w:r>
        <w:rPr>
          <w:rFonts w:hint="eastAsia" w:eastAsia="宋体" w:cs="Times New Roman"/>
          <w:color w:val="000000"/>
          <w:kern w:val="0"/>
          <w:sz w:val="24"/>
          <w:szCs w:val="24"/>
          <w:lang w:val="en-US" w:eastAsia="zh-CN" w:bidi="ar"/>
        </w:rPr>
        <w:t>53.59</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专利授权</w:t>
      </w:r>
      <w:r>
        <w:rPr>
          <w:rFonts w:hint="eastAsia" w:eastAsia="宋体" w:cs="Times New Roman"/>
          <w:color w:val="000000"/>
          <w:kern w:val="0"/>
          <w:sz w:val="24"/>
          <w:szCs w:val="24"/>
          <w:lang w:val="en-US" w:eastAsia="zh-CN" w:bidi="ar"/>
        </w:rPr>
        <w:t>8264</w:t>
      </w:r>
      <w:r>
        <w:rPr>
          <w:rFonts w:hint="eastAsia" w:ascii="仿宋" w:hAnsi="仿宋" w:eastAsia="仿宋" w:cs="仿宋"/>
          <w:color w:val="000000"/>
          <w:kern w:val="0"/>
          <w:sz w:val="24"/>
          <w:szCs w:val="24"/>
          <w:lang w:val="en-US" w:eastAsia="zh-CN" w:bidi="ar"/>
        </w:rPr>
        <w:t>件，其中发明授权专利</w:t>
      </w:r>
      <w:r>
        <w:rPr>
          <w:rFonts w:hint="eastAsia" w:eastAsia="宋体" w:cs="Times New Roman"/>
          <w:color w:val="000000"/>
          <w:kern w:val="0"/>
          <w:sz w:val="24"/>
          <w:szCs w:val="24"/>
          <w:lang w:val="en-US" w:eastAsia="zh-CN" w:bidi="ar"/>
        </w:rPr>
        <w:t>2393</w:t>
      </w:r>
      <w:r>
        <w:rPr>
          <w:rFonts w:hint="eastAsia" w:ascii="仿宋" w:hAnsi="仿宋" w:eastAsia="仿宋" w:cs="仿宋"/>
          <w:color w:val="000000"/>
          <w:kern w:val="0"/>
          <w:sz w:val="24"/>
          <w:szCs w:val="24"/>
          <w:lang w:val="en-US" w:eastAsia="zh-CN" w:bidi="ar"/>
        </w:rPr>
        <w:t>件，占授权专利</w:t>
      </w:r>
      <w:r>
        <w:rPr>
          <w:rFonts w:hint="eastAsia" w:eastAsia="宋体" w:cs="Times New Roman"/>
          <w:color w:val="000000"/>
          <w:kern w:val="0"/>
          <w:sz w:val="24"/>
          <w:szCs w:val="24"/>
          <w:lang w:val="en-US" w:eastAsia="zh-CN" w:bidi="ar"/>
        </w:rPr>
        <w:t>28.96</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，近</w:t>
      </w:r>
      <w:r>
        <w:rPr>
          <w:rFonts w:hint="eastAsia"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年中国发明专利</w:t>
      </w:r>
      <w:r>
        <w:rPr>
          <w:rFonts w:hint="eastAsia" w:ascii="仿宋" w:hAnsi="仿宋" w:cs="仿宋"/>
          <w:color w:val="000000"/>
          <w:kern w:val="0"/>
          <w:sz w:val="24"/>
          <w:szCs w:val="24"/>
          <w:lang w:val="en-US" w:eastAsia="zh-CN" w:bidi="ar"/>
        </w:rPr>
        <w:t>申请量</w:t>
      </w:r>
      <w:r>
        <w:rPr>
          <w:rFonts w:hint="eastAsia" w:ascii="仿宋" w:hAnsi="仿宋" w:eastAsia="仿宋" w:cs="仿宋"/>
          <w:color w:val="000000"/>
          <w:kern w:val="0"/>
          <w:sz w:val="24"/>
          <w:szCs w:val="24"/>
          <w:lang w:val="en-US" w:eastAsia="zh-CN" w:bidi="ar"/>
        </w:rPr>
        <w:t>为</w:t>
      </w:r>
      <w:r>
        <w:rPr>
          <w:rFonts w:hint="eastAsia" w:cs="Times New Roman"/>
          <w:color w:val="000000"/>
          <w:kern w:val="0"/>
          <w:sz w:val="24"/>
          <w:szCs w:val="24"/>
          <w:lang w:val="en-US" w:eastAsia="zh-CN" w:bidi="ar"/>
        </w:rPr>
        <w:t>8613</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；有效专利为</w:t>
      </w:r>
      <w:r>
        <w:rPr>
          <w:rFonts w:hint="eastAsia" w:eastAsia="宋体" w:cs="Times New Roman"/>
          <w:color w:val="000000"/>
          <w:kern w:val="0"/>
          <w:sz w:val="24"/>
          <w:szCs w:val="24"/>
          <w:lang w:val="en-US" w:eastAsia="zh-CN" w:bidi="ar"/>
        </w:rPr>
        <w:t>5894</w:t>
      </w:r>
      <w:r>
        <w:rPr>
          <w:rFonts w:hint="eastAsia" w:ascii="仿宋" w:hAnsi="仿宋" w:eastAsia="仿宋" w:cs="仿宋"/>
          <w:color w:val="000000"/>
          <w:kern w:val="0"/>
          <w:sz w:val="24"/>
          <w:szCs w:val="24"/>
          <w:lang w:val="en-US" w:eastAsia="zh-CN" w:bidi="ar"/>
        </w:rPr>
        <w:t>件，占总专利申请</w:t>
      </w:r>
      <w:r>
        <w:rPr>
          <w:rFonts w:hint="eastAsia" w:eastAsia="宋体" w:cs="Times New Roman"/>
          <w:color w:val="000000"/>
          <w:kern w:val="0"/>
          <w:sz w:val="24"/>
          <w:szCs w:val="24"/>
          <w:lang w:val="en-US" w:eastAsia="zh-CN" w:bidi="ar"/>
        </w:rPr>
        <w:t>46.59</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中国海洋风能发电装备制造领域的专利申请与授权状况充分展示了中国在该领域的卓越技术创新能力和强大的研发实力。</w:t>
      </w:r>
    </w:p>
    <w:p w14:paraId="60CDAE4B">
      <w:pPr>
        <w:keepNext w:val="0"/>
        <w:keepLines w:val="0"/>
        <w:widowControl/>
        <w:suppressLineNumbers w:val="0"/>
        <w:jc w:val="left"/>
        <w:rPr>
          <w:rFonts w:hint="eastAsia"/>
        </w:rPr>
      </w:pPr>
      <w:r>
        <w:rPr>
          <w:rFonts w:hint="eastAsia" w:ascii="仿宋" w:hAnsi="仿宋" w:eastAsia="仿宋" w:cs="仿宋"/>
          <w:color w:val="000000"/>
          <w:kern w:val="0"/>
          <w:sz w:val="24"/>
          <w:szCs w:val="24"/>
          <w:lang w:val="en-US" w:eastAsia="zh-CN" w:bidi="ar"/>
        </w:rPr>
        <w:t>广东</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专利申请共计</w:t>
      </w:r>
      <w:r>
        <w:rPr>
          <w:rFonts w:hint="eastAsia" w:eastAsia="宋体" w:cs="Times New Roman"/>
          <w:color w:val="000000"/>
          <w:kern w:val="0"/>
          <w:sz w:val="24"/>
          <w:szCs w:val="24"/>
          <w:lang w:val="en-US" w:eastAsia="zh-CN" w:bidi="ar"/>
        </w:rPr>
        <w:t>1799</w:t>
      </w:r>
      <w:r>
        <w:rPr>
          <w:rFonts w:hint="eastAsia" w:ascii="仿宋" w:hAnsi="仿宋" w:eastAsia="仿宋" w:cs="仿宋"/>
          <w:color w:val="000000"/>
          <w:kern w:val="0"/>
          <w:sz w:val="24"/>
          <w:szCs w:val="24"/>
          <w:lang w:val="en-US" w:eastAsia="zh-CN" w:bidi="ar"/>
        </w:rPr>
        <w:t>件，其中发明专利申请</w:t>
      </w:r>
      <w:r>
        <w:rPr>
          <w:rFonts w:hint="eastAsia" w:eastAsia="宋体" w:cs="Times New Roman"/>
          <w:color w:val="000000"/>
          <w:kern w:val="0"/>
          <w:sz w:val="24"/>
          <w:szCs w:val="24"/>
          <w:lang w:val="en-US" w:eastAsia="zh-CN" w:bidi="ar"/>
        </w:rPr>
        <w:t>1015</w:t>
      </w:r>
      <w:r>
        <w:rPr>
          <w:rFonts w:hint="eastAsia" w:ascii="仿宋" w:hAnsi="仿宋" w:eastAsia="仿宋" w:cs="仿宋"/>
          <w:color w:val="000000"/>
          <w:kern w:val="0"/>
          <w:sz w:val="24"/>
          <w:szCs w:val="24"/>
          <w:lang w:val="en-US" w:eastAsia="zh-CN" w:bidi="ar"/>
        </w:rPr>
        <w:t>件，占比</w:t>
      </w:r>
      <w:r>
        <w:rPr>
          <w:rFonts w:hint="eastAsia" w:eastAsia="宋体" w:cs="Times New Roman"/>
          <w:color w:val="000000"/>
          <w:kern w:val="0"/>
          <w:sz w:val="24"/>
          <w:szCs w:val="24"/>
          <w:lang w:val="en-US" w:eastAsia="zh-CN" w:bidi="ar"/>
        </w:rPr>
        <w:t>56.42</w:t>
      </w:r>
      <w:r>
        <w:rPr>
          <w:rFonts w:hint="default" w:ascii="Times New Roman" w:hAnsi="Times New Roman" w:eastAsia="宋体" w:cs="Times New Roman"/>
          <w:color w:val="000000"/>
          <w:kern w:val="0"/>
          <w:sz w:val="24"/>
          <w:szCs w:val="24"/>
          <w:lang w:val="en-US" w:eastAsia="zh-CN" w:bidi="ar"/>
        </w:rPr>
        <w:t>%</w:t>
      </w:r>
      <w:r>
        <w:rPr>
          <w:rFonts w:hint="eastAsia" w:eastAsia="宋体" w:cs="Times New Roman"/>
          <w:color w:val="000000"/>
          <w:kern w:val="0"/>
          <w:sz w:val="24"/>
          <w:szCs w:val="24"/>
          <w:lang w:val="en-US" w:eastAsia="zh-CN" w:bidi="ar"/>
        </w:rPr>
        <w:t>；</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专利授权量为</w:t>
      </w:r>
      <w:r>
        <w:rPr>
          <w:rFonts w:hint="eastAsia" w:eastAsia="宋体" w:cs="Times New Roman"/>
          <w:color w:val="000000"/>
          <w:kern w:val="0"/>
          <w:sz w:val="24"/>
          <w:szCs w:val="24"/>
          <w:lang w:val="en-US" w:eastAsia="zh-CN" w:bidi="ar"/>
        </w:rPr>
        <w:t>1134</w:t>
      </w:r>
      <w:r>
        <w:rPr>
          <w:rFonts w:hint="eastAsia" w:ascii="仿宋" w:hAnsi="仿宋" w:eastAsia="仿宋" w:cs="仿宋"/>
          <w:color w:val="000000"/>
          <w:kern w:val="0"/>
          <w:sz w:val="24"/>
          <w:szCs w:val="24"/>
          <w:lang w:val="en-US" w:eastAsia="zh-CN" w:bidi="ar"/>
        </w:rPr>
        <w:t>件，近</w:t>
      </w:r>
      <w:r>
        <w:rPr>
          <w:rFonts w:hint="default" w:ascii="Times New Roman" w:hAnsi="Times New Roman" w:eastAsia="宋体" w:cs="Times New Roman"/>
          <w:color w:val="000000"/>
          <w:kern w:val="0"/>
          <w:sz w:val="24"/>
          <w:szCs w:val="24"/>
          <w:lang w:val="en-US" w:eastAsia="zh-CN" w:bidi="ar"/>
        </w:rPr>
        <w:t>5</w:t>
      </w:r>
      <w:r>
        <w:rPr>
          <w:rFonts w:hint="eastAsia" w:ascii="仿宋" w:hAnsi="仿宋" w:eastAsia="仿宋" w:cs="仿宋"/>
          <w:color w:val="000000"/>
          <w:kern w:val="0"/>
          <w:sz w:val="24"/>
          <w:szCs w:val="24"/>
          <w:lang w:val="en-US" w:eastAsia="zh-CN" w:bidi="ar"/>
        </w:rPr>
        <w:t>年发明专利</w:t>
      </w:r>
      <w:r>
        <w:rPr>
          <w:rFonts w:hint="eastAsia" w:ascii="仿宋" w:hAnsi="仿宋" w:cs="仿宋"/>
          <w:color w:val="000000"/>
          <w:kern w:val="0"/>
          <w:sz w:val="24"/>
          <w:szCs w:val="24"/>
          <w:lang w:val="en-US" w:eastAsia="zh-CN" w:bidi="ar"/>
        </w:rPr>
        <w:t>申请量为</w:t>
      </w:r>
      <w:r>
        <w:rPr>
          <w:rFonts w:hint="eastAsia" w:cs="Times New Roman"/>
          <w:color w:val="000000"/>
          <w:kern w:val="0"/>
          <w:sz w:val="24"/>
          <w:szCs w:val="24"/>
          <w:lang w:val="en-US" w:eastAsia="zh-CN" w:bidi="ar"/>
        </w:rPr>
        <w:t>1332</w:t>
      </w:r>
      <w:r>
        <w:rPr>
          <w:rFonts w:hint="eastAsia" w:ascii="仿宋" w:hAnsi="仿宋" w:cs="仿宋"/>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；有效专利数为</w:t>
      </w:r>
      <w:r>
        <w:rPr>
          <w:rFonts w:hint="eastAsia" w:eastAsia="宋体" w:cs="Times New Roman"/>
          <w:color w:val="000000"/>
          <w:kern w:val="0"/>
          <w:sz w:val="24"/>
          <w:szCs w:val="24"/>
          <w:lang w:val="en-US" w:eastAsia="zh-CN" w:bidi="ar"/>
        </w:rPr>
        <w:t>873</w:t>
      </w:r>
      <w:r>
        <w:rPr>
          <w:rFonts w:hint="eastAsia" w:ascii="仿宋" w:hAnsi="仿宋" w:eastAsia="仿宋" w:cs="仿宋"/>
          <w:color w:val="000000"/>
          <w:kern w:val="0"/>
          <w:sz w:val="24"/>
          <w:szCs w:val="24"/>
          <w:lang w:val="en-US" w:eastAsia="zh-CN" w:bidi="ar"/>
        </w:rPr>
        <w:t>件，占总专利申请</w:t>
      </w:r>
      <w:r>
        <w:rPr>
          <w:rFonts w:hint="eastAsia" w:eastAsia="宋体" w:cs="Times New Roman"/>
          <w:color w:val="000000"/>
          <w:kern w:val="0"/>
          <w:sz w:val="24"/>
          <w:szCs w:val="24"/>
          <w:lang w:val="en-US" w:eastAsia="zh-CN" w:bidi="ar"/>
        </w:rPr>
        <w:t>48.53</w:t>
      </w:r>
      <w:r>
        <w:rPr>
          <w:rFonts w:hint="default" w:ascii="Times New Roman" w:hAnsi="Times New Roman"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p>
    <w:p w14:paraId="3E293DFF">
      <w:pPr>
        <w:pStyle w:val="4"/>
        <w:rPr>
          <w:rFonts w:hint="eastAsia" w:eastAsia="宋体"/>
          <w:lang w:eastAsia="zh-CN"/>
        </w:rPr>
      </w:pPr>
      <w:bookmarkStart w:id="0" w:name="_Ref28685"/>
      <w:r>
        <w:t xml:space="preserve">表 </w:t>
      </w:r>
      <w:r>
        <w:fldChar w:fldCharType="begin"/>
      </w:r>
      <w:r>
        <w:instrText xml:space="preserve"> SEQ 表 \* ARABIC </w:instrText>
      </w:r>
      <w:r>
        <w:fldChar w:fldCharType="separate"/>
      </w:r>
      <w:r>
        <w:t>1</w:t>
      </w:r>
      <w:r>
        <w:fldChar w:fldCharType="end"/>
      </w:r>
      <w:bookmarkEnd w:id="0"/>
      <w:r>
        <w:rPr>
          <w:rFonts w:hint="eastAsia"/>
          <w:lang w:eastAsia="zh-CN"/>
        </w:rPr>
        <w:t xml:space="preserve"> </w:t>
      </w:r>
      <w:r>
        <w:rPr>
          <w:rFonts w:hint="eastAsia"/>
          <w:lang w:val="en-US" w:eastAsia="zh-CN"/>
        </w:rPr>
        <w:t>海洋风能发电装备制造</w:t>
      </w:r>
      <w:r>
        <w:rPr>
          <w:rFonts w:hint="eastAsia"/>
          <w:lang w:eastAsia="zh-CN"/>
        </w:rPr>
        <w:t>专利总体情况</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51"/>
        <w:gridCol w:w="1590"/>
        <w:gridCol w:w="1590"/>
        <w:gridCol w:w="1591"/>
      </w:tblGrid>
      <w:tr w14:paraId="4DE4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l2br w:val="nil"/>
            </w:tcBorders>
            <w:shd w:val="clear" w:color="auto" w:fill="4472C4"/>
            <w:noWrap/>
            <w:vAlign w:val="center"/>
          </w:tcPr>
          <w:p w14:paraId="6F28B5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FFFFFF"/>
                <w:sz w:val="21"/>
                <w:szCs w:val="21"/>
              </w:rPr>
            </w:pPr>
            <w:r>
              <w:rPr>
                <w:rFonts w:hint="eastAsia" w:ascii="仿宋" w:hAnsi="仿宋" w:eastAsia="仿宋" w:cs="仿宋"/>
                <w:b/>
                <w:bCs/>
                <w:i w:val="0"/>
                <w:iCs w:val="0"/>
                <w:color w:val="FFFFFF"/>
                <w:kern w:val="0"/>
                <w:sz w:val="21"/>
                <w:szCs w:val="21"/>
                <w:u w:val="none"/>
                <w:lang w:val="en-US" w:eastAsia="zh-CN" w:bidi="ar"/>
              </w:rPr>
              <w:t>指标</w:t>
            </w:r>
          </w:p>
        </w:tc>
        <w:tc>
          <w:tcPr>
            <w:tcW w:w="1590" w:type="dxa"/>
            <w:tcBorders>
              <w:top w:val="single" w:color="FFFFFF" w:sz="4" w:space="0"/>
              <w:left w:val="single" w:color="FFFFFF" w:sz="4" w:space="0"/>
              <w:bottom w:val="single" w:color="FFFFFF" w:sz="4" w:space="0"/>
              <w:right w:val="single" w:color="FFFFFF" w:sz="4" w:space="0"/>
            </w:tcBorders>
            <w:shd w:val="clear" w:color="auto" w:fill="4472C4"/>
            <w:noWrap/>
            <w:vAlign w:val="center"/>
          </w:tcPr>
          <w:p w14:paraId="632E09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FFFFFF"/>
                <w:sz w:val="21"/>
                <w:szCs w:val="21"/>
              </w:rPr>
            </w:pPr>
            <w:r>
              <w:rPr>
                <w:rFonts w:hint="eastAsia" w:ascii="仿宋" w:hAnsi="仿宋" w:eastAsia="仿宋" w:cs="仿宋"/>
                <w:b/>
                <w:bCs/>
                <w:i w:val="0"/>
                <w:iCs w:val="0"/>
                <w:color w:val="FFFFFF"/>
                <w:kern w:val="0"/>
                <w:sz w:val="21"/>
                <w:szCs w:val="21"/>
                <w:u w:val="none"/>
                <w:lang w:val="en-US" w:eastAsia="zh-CN" w:bidi="ar"/>
              </w:rPr>
              <w:t>全球</w:t>
            </w:r>
          </w:p>
        </w:tc>
        <w:tc>
          <w:tcPr>
            <w:tcW w:w="1590" w:type="dxa"/>
            <w:tcBorders>
              <w:top w:val="single" w:color="FFFFFF" w:sz="4" w:space="0"/>
              <w:left w:val="single" w:color="FFFFFF" w:sz="4" w:space="0"/>
              <w:bottom w:val="single" w:color="FFFFFF" w:sz="4" w:space="0"/>
              <w:right w:val="single" w:color="FFFFFF" w:sz="4" w:space="0"/>
            </w:tcBorders>
            <w:shd w:val="clear" w:color="auto" w:fill="4472C4"/>
            <w:noWrap/>
            <w:vAlign w:val="center"/>
          </w:tcPr>
          <w:p w14:paraId="3832EF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FFFFFF"/>
                <w:kern w:val="0"/>
                <w:sz w:val="21"/>
                <w:szCs w:val="21"/>
                <w:lang w:bidi="ar"/>
              </w:rPr>
            </w:pPr>
            <w:r>
              <w:rPr>
                <w:rFonts w:hint="eastAsia" w:ascii="仿宋" w:hAnsi="仿宋" w:eastAsia="仿宋" w:cs="仿宋"/>
                <w:b/>
                <w:bCs/>
                <w:i w:val="0"/>
                <w:iCs w:val="0"/>
                <w:color w:val="FFFFFF"/>
                <w:kern w:val="0"/>
                <w:sz w:val="21"/>
                <w:szCs w:val="21"/>
                <w:u w:val="none"/>
                <w:lang w:val="en-US" w:eastAsia="zh-CN" w:bidi="ar"/>
              </w:rPr>
              <w:t>中国</w:t>
            </w:r>
          </w:p>
        </w:tc>
        <w:tc>
          <w:tcPr>
            <w:tcW w:w="1591" w:type="dxa"/>
            <w:tcBorders>
              <w:top w:val="single" w:color="FFFFFF" w:sz="4" w:space="0"/>
              <w:left w:val="single" w:color="FFFFFF" w:sz="4" w:space="0"/>
              <w:bottom w:val="single" w:color="FFFFFF" w:sz="4" w:space="0"/>
              <w:right w:val="single" w:color="FFFFFF" w:sz="4" w:space="0"/>
            </w:tcBorders>
            <w:shd w:val="clear" w:color="auto" w:fill="4472C4"/>
            <w:vAlign w:val="center"/>
          </w:tcPr>
          <w:p w14:paraId="0D99EF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bCs/>
                <w:color w:val="FFFFFF"/>
                <w:kern w:val="0"/>
                <w:sz w:val="21"/>
                <w:szCs w:val="21"/>
                <w:lang w:bidi="ar"/>
              </w:rPr>
            </w:pPr>
            <w:r>
              <w:rPr>
                <w:rFonts w:hint="eastAsia" w:ascii="仿宋" w:hAnsi="仿宋" w:eastAsia="仿宋" w:cs="仿宋"/>
                <w:b/>
                <w:bCs/>
                <w:i w:val="0"/>
                <w:iCs w:val="0"/>
                <w:color w:val="FFFFFF"/>
                <w:kern w:val="0"/>
                <w:sz w:val="21"/>
                <w:szCs w:val="21"/>
                <w:u w:val="none"/>
                <w:lang w:val="en-US" w:eastAsia="zh-CN" w:bidi="ar"/>
              </w:rPr>
              <w:t>广东</w:t>
            </w:r>
          </w:p>
        </w:tc>
      </w:tr>
      <w:tr w14:paraId="155C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235371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专利申请量（件）</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6DA5E1F8">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18345</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53DCA1EB">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12651</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BA354A8">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1799</w:t>
            </w:r>
          </w:p>
        </w:tc>
      </w:tr>
      <w:tr w14:paraId="0241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170F83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发明专利申请量（件）</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5CD0799B">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12287</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4FEC8CAA">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6780</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2514F57E">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1015</w:t>
            </w:r>
          </w:p>
        </w:tc>
      </w:tr>
      <w:tr w14:paraId="6536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133E08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发明申请占比（</w:t>
            </w:r>
            <w:r>
              <w:rPr>
                <w:rFonts w:hint="default" w:ascii="Times New Roman" w:hAnsi="Times New Roman" w:eastAsia="仿宋" w:cs="Times New Roman"/>
                <w:b w:val="0"/>
                <w:i w:val="0"/>
                <w:iCs w:val="0"/>
                <w:color w:val="000000"/>
                <w:kern w:val="0"/>
                <w:sz w:val="21"/>
                <w:szCs w:val="21"/>
                <w:u w:val="none"/>
                <w:lang w:val="en-US" w:eastAsia="zh-CN" w:bidi="ar"/>
              </w:rPr>
              <w:t>%</w:t>
            </w:r>
            <w:r>
              <w:rPr>
                <w:rFonts w:hint="eastAsia" w:ascii="仿宋" w:hAnsi="仿宋" w:eastAsia="仿宋" w:cs="仿宋"/>
                <w:b w:val="0"/>
                <w:i w:val="0"/>
                <w:iCs w:val="0"/>
                <w:color w:val="000000"/>
                <w:kern w:val="0"/>
                <w:sz w:val="21"/>
                <w:szCs w:val="21"/>
                <w:u w:val="none"/>
                <w:lang w:val="en-US" w:eastAsia="zh-CN" w:bidi="ar"/>
              </w:rPr>
              <w:t>）</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6B6BAEA3">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66.98%</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1E32385E">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53.59%</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65079DE1">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56.42%</w:t>
            </w:r>
          </w:p>
        </w:tc>
      </w:tr>
      <w:tr w14:paraId="4E485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4777FC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专利授权量（件）</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0A35C8F4">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10855</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7F7494E4">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8264</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233B9AEC">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1134</w:t>
            </w:r>
          </w:p>
        </w:tc>
      </w:tr>
      <w:tr w14:paraId="74ED8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37CDEC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发明专利授权量（件）</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7908389F">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4837</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008778CA">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2393</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64B58035">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350</w:t>
            </w:r>
          </w:p>
        </w:tc>
      </w:tr>
      <w:tr w14:paraId="380B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21E90C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发明授权占比（</w:t>
            </w:r>
            <w:r>
              <w:rPr>
                <w:rFonts w:hint="default" w:ascii="Times New Roman" w:hAnsi="Times New Roman" w:eastAsia="仿宋" w:cs="Times New Roman"/>
                <w:b w:val="0"/>
                <w:i w:val="0"/>
                <w:iCs w:val="0"/>
                <w:color w:val="000000"/>
                <w:kern w:val="0"/>
                <w:sz w:val="21"/>
                <w:szCs w:val="21"/>
                <w:u w:val="none"/>
                <w:lang w:val="en-US" w:eastAsia="zh-CN" w:bidi="ar"/>
              </w:rPr>
              <w:t>%</w:t>
            </w:r>
            <w:r>
              <w:rPr>
                <w:rFonts w:hint="eastAsia" w:ascii="仿宋" w:hAnsi="仿宋" w:eastAsia="仿宋" w:cs="仿宋"/>
                <w:b w:val="0"/>
                <w:i w:val="0"/>
                <w:iCs w:val="0"/>
                <w:color w:val="000000"/>
                <w:kern w:val="0"/>
                <w:sz w:val="21"/>
                <w:szCs w:val="21"/>
                <w:u w:val="none"/>
                <w:lang w:val="en-US" w:eastAsia="zh-CN" w:bidi="ar"/>
              </w:rPr>
              <w:t>）</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4C3C0D02">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44.56%</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75798552">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28.96%</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7EE3CE52">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30.86%</w:t>
            </w:r>
          </w:p>
        </w:tc>
      </w:tr>
      <w:tr w14:paraId="089A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5431622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cs="宋体"/>
                <w:b w:val="0"/>
                <w:color w:val="000000"/>
                <w:kern w:val="0"/>
                <w:sz w:val="21"/>
                <w:szCs w:val="21"/>
                <w:lang w:val="en-US" w:bidi="ar"/>
              </w:rPr>
            </w:pPr>
            <w:r>
              <w:rPr>
                <w:rFonts w:hint="eastAsia" w:ascii="仿宋" w:hAnsi="仿宋" w:eastAsia="仿宋" w:cs="仿宋"/>
                <w:b w:val="0"/>
                <w:i w:val="0"/>
                <w:iCs w:val="0"/>
                <w:color w:val="000000"/>
                <w:kern w:val="0"/>
                <w:sz w:val="21"/>
                <w:szCs w:val="21"/>
                <w:u w:val="none"/>
                <w:lang w:val="en-US" w:eastAsia="zh-CN" w:bidi="ar"/>
              </w:rPr>
              <w:t>近5年发明专利申请量（件）</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64A36FB2">
            <w:pPr>
              <w:keepNext w:val="0"/>
              <w:keepLines w:val="0"/>
              <w:widowControl/>
              <w:suppressLineNumbers w:val="0"/>
              <w:ind w:firstLine="0" w:firstLineChars="0"/>
              <w:jc w:val="center"/>
              <w:textAlignment w:val="center"/>
              <w:rPr>
                <w:rFonts w:hint="default"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10501</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185B2C76">
            <w:pPr>
              <w:keepNext w:val="0"/>
              <w:keepLines w:val="0"/>
              <w:widowControl/>
              <w:suppressLineNumbers w:val="0"/>
              <w:ind w:firstLine="0" w:firstLineChars="0"/>
              <w:jc w:val="center"/>
              <w:textAlignment w:val="center"/>
              <w:rPr>
                <w:rFonts w:hint="default"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8613</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3EA911E1">
            <w:pPr>
              <w:keepNext w:val="0"/>
              <w:keepLines w:val="0"/>
              <w:widowControl/>
              <w:suppressLineNumbers w:val="0"/>
              <w:ind w:firstLine="0" w:firstLineChars="0"/>
              <w:jc w:val="center"/>
              <w:textAlignment w:val="center"/>
              <w:rPr>
                <w:rFonts w:hint="default"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1332</w:t>
            </w:r>
          </w:p>
        </w:tc>
      </w:tr>
      <w:tr w14:paraId="4E604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00100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有效专利量（件）</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54DFE537">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7708</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583BB834">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5894</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38C66A33">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873</w:t>
            </w:r>
          </w:p>
        </w:tc>
      </w:tr>
      <w:tr w14:paraId="25900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064E53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kern w:val="0"/>
                <w:sz w:val="21"/>
                <w:szCs w:val="21"/>
                <w:lang w:bidi="ar"/>
              </w:rPr>
            </w:pPr>
            <w:r>
              <w:rPr>
                <w:rFonts w:hint="eastAsia" w:ascii="仿宋" w:hAnsi="仿宋" w:eastAsia="仿宋" w:cs="仿宋"/>
                <w:b w:val="0"/>
                <w:i w:val="0"/>
                <w:iCs w:val="0"/>
                <w:color w:val="000000"/>
                <w:kern w:val="0"/>
                <w:sz w:val="21"/>
                <w:szCs w:val="21"/>
                <w:u w:val="none"/>
                <w:lang w:val="en-US" w:eastAsia="zh-CN" w:bidi="ar"/>
              </w:rPr>
              <w:t>有效专利占比（</w:t>
            </w:r>
            <w:r>
              <w:rPr>
                <w:rFonts w:hint="default" w:ascii="Times New Roman" w:hAnsi="Times New Roman" w:eastAsia="仿宋" w:cs="Times New Roman"/>
                <w:b w:val="0"/>
                <w:i w:val="0"/>
                <w:iCs w:val="0"/>
                <w:color w:val="000000"/>
                <w:kern w:val="0"/>
                <w:sz w:val="21"/>
                <w:szCs w:val="21"/>
                <w:u w:val="none"/>
                <w:lang w:val="en-US" w:eastAsia="zh-CN" w:bidi="ar"/>
              </w:rPr>
              <w:t>%</w:t>
            </w:r>
            <w:r>
              <w:rPr>
                <w:rFonts w:hint="eastAsia" w:ascii="仿宋" w:hAnsi="仿宋" w:eastAsia="仿宋" w:cs="仿宋"/>
                <w:b w:val="0"/>
                <w:i w:val="0"/>
                <w:iCs w:val="0"/>
                <w:color w:val="000000"/>
                <w:kern w:val="0"/>
                <w:sz w:val="21"/>
                <w:szCs w:val="21"/>
                <w:u w:val="none"/>
                <w:lang w:val="en-US" w:eastAsia="zh-CN" w:bidi="ar"/>
              </w:rPr>
              <w:t>）</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7E238DA8">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42.02%</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2E02153B">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46.59%</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75860C67">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48.53%</w:t>
            </w:r>
          </w:p>
        </w:tc>
      </w:tr>
      <w:tr w14:paraId="67D7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751"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403836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cs="宋体"/>
                <w:b w:val="0"/>
                <w:color w:val="000000"/>
                <w:sz w:val="21"/>
                <w:szCs w:val="21"/>
              </w:rPr>
            </w:pPr>
            <w:r>
              <w:rPr>
                <w:rFonts w:hint="eastAsia" w:ascii="仿宋" w:hAnsi="仿宋" w:eastAsia="仿宋" w:cs="仿宋"/>
                <w:b w:val="0"/>
                <w:i w:val="0"/>
                <w:iCs w:val="0"/>
                <w:color w:val="000000"/>
                <w:kern w:val="0"/>
                <w:sz w:val="21"/>
                <w:szCs w:val="21"/>
                <w:u w:val="none"/>
                <w:lang w:val="en-US" w:eastAsia="zh-CN" w:bidi="ar"/>
              </w:rPr>
              <w:t>有效发明专利量（件）</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37763575">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3852</w:t>
            </w:r>
          </w:p>
        </w:tc>
        <w:tc>
          <w:tcPr>
            <w:tcW w:w="1590" w:type="dxa"/>
            <w:tcBorders>
              <w:top w:val="single" w:color="FFFFFF" w:sz="4" w:space="0"/>
              <w:left w:val="single" w:color="FFFFFF" w:sz="4" w:space="0"/>
              <w:bottom w:val="single" w:color="FFFFFF" w:sz="4" w:space="0"/>
              <w:right w:val="single" w:color="FFFFFF" w:sz="4" w:space="0"/>
            </w:tcBorders>
            <w:shd w:val="clear" w:color="auto" w:fill="D9E3F3"/>
            <w:noWrap/>
            <w:vAlign w:val="center"/>
          </w:tcPr>
          <w:p w14:paraId="4B48A34C">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2068</w:t>
            </w:r>
          </w:p>
        </w:tc>
        <w:tc>
          <w:tcPr>
            <w:tcW w:w="1591" w:type="dxa"/>
            <w:tcBorders>
              <w:top w:val="single" w:color="FFFFFF" w:sz="4" w:space="0"/>
              <w:left w:val="single" w:color="FFFFFF" w:sz="4" w:space="0"/>
              <w:bottom w:val="single" w:color="FFFFFF" w:sz="4" w:space="0"/>
              <w:right w:val="single" w:color="FFFFFF" w:sz="4" w:space="0"/>
            </w:tcBorders>
            <w:shd w:val="clear" w:color="auto" w:fill="D9E3F3"/>
            <w:vAlign w:val="center"/>
          </w:tcPr>
          <w:p w14:paraId="1C61B92A">
            <w:pPr>
              <w:keepNext w:val="0"/>
              <w:keepLines w:val="0"/>
              <w:widowControl/>
              <w:suppressLineNumbers w:val="0"/>
              <w:ind w:firstLine="0" w:firstLineChars="0"/>
              <w:jc w:val="center"/>
              <w:textAlignment w:val="center"/>
              <w:rPr>
                <w:rFonts w:hint="default" w:eastAsia="仿宋" w:cs="宋体"/>
                <w:b w:val="0"/>
                <w:color w:val="000000"/>
                <w:kern w:val="0"/>
                <w:sz w:val="21"/>
                <w:szCs w:val="21"/>
                <w:lang w:val="en-US" w:eastAsia="zh-CN" w:bidi="ar"/>
              </w:rPr>
            </w:pPr>
            <w:r>
              <w:rPr>
                <w:rFonts w:hint="default" w:ascii="Times New Roman" w:hAnsi="Times New Roman" w:eastAsia="宋体" w:cs="Times New Roman"/>
                <w:i w:val="0"/>
                <w:iCs w:val="0"/>
                <w:color w:val="000000"/>
                <w:kern w:val="0"/>
                <w:sz w:val="21"/>
                <w:szCs w:val="21"/>
                <w:u w:val="none"/>
                <w:lang w:val="en-US" w:eastAsia="zh-CN" w:bidi="ar"/>
              </w:rPr>
              <w:t>306</w:t>
            </w:r>
          </w:p>
        </w:tc>
      </w:tr>
    </w:tbl>
    <w:p w14:paraId="5FF5D6CB">
      <w:pPr>
        <w:ind w:firstLine="480"/>
        <w:rPr>
          <w:rFonts w:hint="eastAsia"/>
        </w:rPr>
      </w:pPr>
    </w:p>
    <w:p w14:paraId="5DF3A2F3">
      <w:pPr>
        <w:pStyle w:val="2"/>
        <w:spacing w:before="156" w:after="312"/>
      </w:pPr>
      <w:r>
        <w:rPr>
          <w:rFonts w:hint="eastAsia"/>
        </w:rPr>
        <w:t>总体趋势分析</w:t>
      </w:r>
    </w:p>
    <w:p w14:paraId="6CF431FA">
      <w:pPr>
        <w:keepNext w:val="0"/>
        <w:keepLines w:val="0"/>
        <w:widowControl/>
        <w:suppressLineNumbers w:val="0"/>
        <w:jc w:val="left"/>
        <w:rPr>
          <w:rFonts w:hint="default" w:cs="Times New Roman"/>
        </w:rPr>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_Ref1174 \h </w:instrText>
      </w:r>
      <w:r>
        <w:rPr>
          <w:rFonts w:ascii="仿宋" w:hAnsi="仿宋" w:eastAsia="仿宋" w:cs="仿宋"/>
          <w:color w:val="000000"/>
          <w:kern w:val="0"/>
          <w:sz w:val="24"/>
          <w:szCs w:val="24"/>
          <w:lang w:val="en-US" w:eastAsia="zh-CN" w:bidi="ar"/>
        </w:rPr>
        <w:fldChar w:fldCharType="separate"/>
      </w:r>
      <w:r>
        <w:t>图 1</w:t>
      </w:r>
      <w:r>
        <w:rPr>
          <w:rFonts w:ascii="仿宋" w:hAnsi="仿宋" w:eastAsia="仿宋" w:cs="仿宋"/>
          <w:color w:val="000000"/>
          <w:kern w:val="0"/>
          <w:sz w:val="24"/>
          <w:szCs w:val="24"/>
          <w:lang w:val="en-US" w:eastAsia="zh-CN" w:bidi="ar"/>
        </w:rPr>
        <w:fldChar w:fldCharType="end"/>
      </w:r>
      <w:r>
        <w:rPr>
          <w:rFonts w:hint="default" w:ascii="Times New Roman" w:hAnsi="Times New Roman" w:eastAsia="仿宋" w:cs="Times New Roman"/>
          <w:color w:val="000000"/>
          <w:kern w:val="0"/>
          <w:sz w:val="24"/>
          <w:szCs w:val="24"/>
          <w:lang w:val="en-US" w:eastAsia="zh-CN" w:bidi="ar"/>
        </w:rPr>
        <w:t>展示了中国</w:t>
      </w:r>
      <w:r>
        <w:rPr>
          <w:rFonts w:hint="default" w:ascii="Times New Roman" w:hAnsi="Times New Roman" w:cs="Times New Roman"/>
          <w:color w:val="000000"/>
          <w:kern w:val="0"/>
          <w:sz w:val="24"/>
          <w:szCs w:val="24"/>
          <w:lang w:val="en-US" w:eastAsia="zh-CN" w:bidi="ar"/>
        </w:rPr>
        <w:t>海洋风能发电装备制造</w:t>
      </w:r>
      <w:r>
        <w:rPr>
          <w:rFonts w:hint="default" w:ascii="Times New Roman" w:hAnsi="Times New Roman" w:eastAsia="仿宋" w:cs="Times New Roman"/>
          <w:color w:val="000000"/>
          <w:kern w:val="0"/>
          <w:sz w:val="24"/>
          <w:szCs w:val="24"/>
          <w:lang w:val="en-US" w:eastAsia="zh-CN" w:bidi="ar"/>
        </w:rPr>
        <w:t>近20年专利申请及授权趋势。如图所示，中国</w:t>
      </w:r>
      <w:r>
        <w:rPr>
          <w:rFonts w:hint="default" w:ascii="Times New Roman" w:hAnsi="Times New Roman" w:cs="Times New Roman"/>
          <w:color w:val="000000"/>
          <w:kern w:val="0"/>
          <w:sz w:val="24"/>
          <w:szCs w:val="24"/>
          <w:lang w:val="en-US" w:eastAsia="zh-CN" w:bidi="ar"/>
        </w:rPr>
        <w:t>海洋风能发电装备制造</w:t>
      </w:r>
      <w:r>
        <w:rPr>
          <w:rFonts w:hint="default" w:ascii="Times New Roman" w:hAnsi="Times New Roman" w:eastAsia="仿宋" w:cs="Times New Roman"/>
          <w:color w:val="000000"/>
          <w:kern w:val="0"/>
          <w:sz w:val="24"/>
          <w:szCs w:val="24"/>
          <w:lang w:val="en-US" w:eastAsia="zh-CN" w:bidi="ar"/>
        </w:rPr>
        <w:t>专利申请</w:t>
      </w:r>
      <w:r>
        <w:rPr>
          <w:rFonts w:hint="default" w:ascii="Times New Roman" w:hAnsi="Times New Roman" w:cs="Times New Roman"/>
          <w:color w:val="000000"/>
          <w:kern w:val="0"/>
          <w:sz w:val="24"/>
          <w:szCs w:val="24"/>
          <w:lang w:val="en-US" w:eastAsia="zh-CN" w:bidi="ar"/>
        </w:rPr>
        <w:t>量和专利授权量的发展</w:t>
      </w:r>
      <w:r>
        <w:rPr>
          <w:rFonts w:hint="default" w:ascii="Times New Roman" w:hAnsi="Times New Roman" w:eastAsia="仿宋" w:cs="Times New Roman"/>
          <w:color w:val="000000"/>
          <w:kern w:val="0"/>
          <w:sz w:val="24"/>
          <w:szCs w:val="24"/>
          <w:lang w:val="en-US" w:eastAsia="zh-CN" w:bidi="ar"/>
        </w:rPr>
        <w:t>呈</w:t>
      </w:r>
      <w:r>
        <w:rPr>
          <w:rFonts w:hint="default" w:ascii="Times New Roman" w:hAnsi="Times New Roman" w:cs="Times New Roman"/>
          <w:color w:val="000000"/>
          <w:kern w:val="0"/>
          <w:sz w:val="24"/>
          <w:szCs w:val="24"/>
          <w:lang w:val="en-US" w:eastAsia="zh-CN" w:bidi="ar"/>
        </w:rPr>
        <w:t>稳步上升的态势</w:t>
      </w:r>
      <w:r>
        <w:rPr>
          <w:rFonts w:hint="eastAsia" w:ascii="Times New Roman" w:hAnsi="Times New Roman" w:cs="Times New Roman"/>
          <w:color w:val="000000"/>
          <w:kern w:val="0"/>
          <w:sz w:val="24"/>
          <w:szCs w:val="24"/>
          <w:lang w:val="en-US" w:eastAsia="zh-CN" w:bidi="ar"/>
        </w:rPr>
        <w:t>，且该态势可分为两个发展阶段</w:t>
      </w:r>
      <w:r>
        <w:rPr>
          <w:rFonts w:hint="default" w:ascii="Times New Roman" w:hAnsi="Times New Roman" w:cs="Times New Roman"/>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第一阶段为</w:t>
      </w:r>
      <w:r>
        <w:rPr>
          <w:rFonts w:hint="default" w:ascii="Times New Roman" w:hAnsi="Times New Roman" w:eastAsia="仿宋" w:cs="Times New Roman"/>
          <w:color w:val="000000"/>
          <w:kern w:val="0"/>
          <w:sz w:val="24"/>
          <w:szCs w:val="24"/>
          <w:lang w:val="en-US" w:eastAsia="zh-CN" w:bidi="ar"/>
        </w:rPr>
        <w:t>200</w:t>
      </w:r>
      <w:r>
        <w:rPr>
          <w:rFonts w:hint="default" w:eastAsia="仿宋" w:cs="Times New Roman"/>
          <w:color w:val="000000"/>
          <w:kern w:val="0"/>
          <w:sz w:val="24"/>
          <w:szCs w:val="24"/>
          <w:lang w:val="en-US" w:eastAsia="zh-CN" w:bidi="ar"/>
        </w:rPr>
        <w:t>4</w:t>
      </w:r>
      <w:r>
        <w:rPr>
          <w:rFonts w:hint="default" w:ascii="Times New Roman" w:hAnsi="Times New Roman" w:eastAsia="仿宋" w:cs="Times New Roman"/>
          <w:color w:val="000000"/>
          <w:kern w:val="0"/>
          <w:sz w:val="24"/>
          <w:szCs w:val="24"/>
          <w:lang w:val="en-US" w:eastAsia="zh-CN" w:bidi="ar"/>
        </w:rPr>
        <w:t>-20</w:t>
      </w:r>
      <w:r>
        <w:rPr>
          <w:rFonts w:hint="default" w:eastAsia="仿宋" w:cs="Times New Roman"/>
          <w:color w:val="000000"/>
          <w:kern w:val="0"/>
          <w:sz w:val="24"/>
          <w:szCs w:val="24"/>
          <w:lang w:val="en-US" w:eastAsia="zh-CN" w:bidi="ar"/>
        </w:rPr>
        <w:t>15</w:t>
      </w:r>
      <w:r>
        <w:rPr>
          <w:rFonts w:hint="default" w:ascii="Times New Roman" w:hAnsi="Times New Roman" w:eastAsia="仿宋" w:cs="Times New Roman"/>
          <w:color w:val="000000"/>
          <w:kern w:val="0"/>
          <w:sz w:val="24"/>
          <w:szCs w:val="24"/>
          <w:lang w:val="en-US" w:eastAsia="zh-CN" w:bidi="ar"/>
        </w:rPr>
        <w:t>年</w:t>
      </w:r>
      <w:r>
        <w:rPr>
          <w:rFonts w:hint="default" w:ascii="Times New Roman" w:hAnsi="Times New Roman" w:cs="Times New Roman"/>
          <w:color w:val="000000"/>
          <w:kern w:val="0"/>
          <w:sz w:val="24"/>
          <w:szCs w:val="24"/>
          <w:lang w:val="en-US" w:eastAsia="zh-CN" w:bidi="ar"/>
        </w:rPr>
        <w:t>期间</w:t>
      </w:r>
      <w:r>
        <w:rPr>
          <w:rFonts w:hint="default" w:ascii="Times New Roman" w:hAnsi="Times New Roman" w:eastAsia="仿宋" w:cs="Times New Roman"/>
          <w:color w:val="000000"/>
          <w:kern w:val="0"/>
          <w:sz w:val="24"/>
          <w:szCs w:val="24"/>
          <w:lang w:val="en-US" w:eastAsia="zh-CN" w:bidi="ar"/>
        </w:rPr>
        <w:t>，我国</w:t>
      </w:r>
      <w:r>
        <w:rPr>
          <w:rFonts w:hint="default" w:ascii="Times New Roman" w:hAnsi="Times New Roman" w:cs="Times New Roman"/>
          <w:color w:val="000000"/>
          <w:kern w:val="0"/>
          <w:sz w:val="24"/>
          <w:szCs w:val="24"/>
          <w:lang w:val="en-US" w:eastAsia="zh-CN" w:bidi="ar"/>
        </w:rPr>
        <w:t>海洋风能发电装备制造</w:t>
      </w:r>
      <w:r>
        <w:rPr>
          <w:rFonts w:hint="default" w:ascii="Times New Roman" w:hAnsi="Times New Roman" w:eastAsia="仿宋" w:cs="Times New Roman"/>
          <w:color w:val="000000"/>
          <w:kern w:val="0"/>
          <w:sz w:val="24"/>
          <w:szCs w:val="24"/>
          <w:lang w:val="en-US" w:eastAsia="zh-CN" w:bidi="ar"/>
        </w:rPr>
        <w:t>技术</w:t>
      </w:r>
      <w:r>
        <w:rPr>
          <w:rFonts w:hint="default" w:ascii="Times New Roman" w:hAnsi="Times New Roman" w:cs="Times New Roman"/>
          <w:color w:val="000000"/>
          <w:kern w:val="0"/>
          <w:sz w:val="24"/>
          <w:szCs w:val="24"/>
          <w:lang w:val="en-US" w:eastAsia="zh-CN" w:bidi="ar"/>
        </w:rPr>
        <w:t>处于稳定发展状态</w:t>
      </w:r>
      <w:r>
        <w:rPr>
          <w:rFonts w:hint="default" w:ascii="Times New Roman" w:hAnsi="Times New Roman" w:eastAsia="仿宋"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尽管发展速度相对缓慢，但涨幅显著</w:t>
      </w:r>
      <w:r>
        <w:rPr>
          <w:rFonts w:hint="default" w:ascii="Times New Roman" w:hAnsi="Times New Roman" w:eastAsia="仿宋" w:cs="Times New Roman"/>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从2004年的18件逐渐攀升至2015年的444件，可见该时期的海洋风能发电装备制造</w:t>
      </w:r>
      <w:r>
        <w:rPr>
          <w:rFonts w:hint="default" w:ascii="Times New Roman" w:hAnsi="Times New Roman" w:eastAsia="仿宋" w:cs="Times New Roman"/>
          <w:color w:val="000000"/>
          <w:kern w:val="0"/>
          <w:sz w:val="24"/>
          <w:szCs w:val="24"/>
          <w:lang w:val="en-US" w:eastAsia="zh-CN" w:bidi="ar"/>
        </w:rPr>
        <w:t>技术</w:t>
      </w:r>
      <w:r>
        <w:rPr>
          <w:rFonts w:hint="default" w:ascii="Times New Roman" w:hAnsi="Times New Roman" w:cs="Times New Roman"/>
          <w:color w:val="000000"/>
          <w:kern w:val="0"/>
          <w:sz w:val="24"/>
          <w:szCs w:val="24"/>
          <w:lang w:val="en-US" w:eastAsia="zh-CN" w:bidi="ar"/>
        </w:rPr>
        <w:t>研发处于初级阶段。</w:t>
      </w:r>
      <w:r>
        <w:rPr>
          <w:rFonts w:hint="eastAsia" w:ascii="Times New Roman" w:hAnsi="Times New Roman" w:cs="Times New Roman"/>
          <w:color w:val="000000"/>
          <w:kern w:val="0"/>
          <w:sz w:val="24"/>
          <w:szCs w:val="24"/>
          <w:lang w:val="en-US" w:eastAsia="zh-CN" w:bidi="ar"/>
        </w:rPr>
        <w:t>第二阶段为</w:t>
      </w:r>
      <w:r>
        <w:rPr>
          <w:rFonts w:hint="default" w:ascii="Times New Roman" w:hAnsi="Times New Roman" w:eastAsia="仿宋" w:cs="Times New Roman"/>
          <w:color w:val="000000"/>
          <w:kern w:val="0"/>
          <w:sz w:val="24"/>
          <w:szCs w:val="24"/>
          <w:lang w:val="en-US" w:eastAsia="zh-CN" w:bidi="ar"/>
        </w:rPr>
        <w:t>20</w:t>
      </w:r>
      <w:r>
        <w:rPr>
          <w:rFonts w:hint="default" w:eastAsia="仿宋" w:cs="Times New Roman"/>
          <w:color w:val="000000"/>
          <w:kern w:val="0"/>
          <w:sz w:val="24"/>
          <w:szCs w:val="24"/>
          <w:lang w:val="en-US" w:eastAsia="zh-CN" w:bidi="ar"/>
        </w:rPr>
        <w:t>15</w:t>
      </w:r>
      <w:r>
        <w:rPr>
          <w:rFonts w:hint="default" w:ascii="Times New Roman" w:hAnsi="Times New Roman" w:eastAsia="仿宋" w:cs="Times New Roman"/>
          <w:color w:val="000000"/>
          <w:kern w:val="0"/>
          <w:sz w:val="24"/>
          <w:szCs w:val="24"/>
          <w:lang w:val="en-US" w:eastAsia="zh-CN" w:bidi="ar"/>
        </w:rPr>
        <w:t>-202</w:t>
      </w:r>
      <w:r>
        <w:rPr>
          <w:rFonts w:hint="default" w:eastAsia="仿宋" w:cs="Times New Roman"/>
          <w:color w:val="000000"/>
          <w:kern w:val="0"/>
          <w:sz w:val="24"/>
          <w:szCs w:val="24"/>
          <w:lang w:val="en-US" w:eastAsia="zh-CN" w:bidi="ar"/>
        </w:rPr>
        <w:t>2</w:t>
      </w:r>
      <w:r>
        <w:rPr>
          <w:rFonts w:hint="default" w:ascii="Times New Roman" w:hAnsi="Times New Roman" w:eastAsia="仿宋" w:cs="Times New Roman"/>
          <w:color w:val="000000"/>
          <w:kern w:val="0"/>
          <w:sz w:val="24"/>
          <w:szCs w:val="24"/>
          <w:lang w:val="en-US" w:eastAsia="zh-CN" w:bidi="ar"/>
        </w:rPr>
        <w:t>年</w:t>
      </w:r>
      <w:r>
        <w:rPr>
          <w:rFonts w:hint="default" w:ascii="Times New Roman" w:hAnsi="Times New Roman" w:cs="Times New Roman"/>
          <w:color w:val="000000"/>
          <w:kern w:val="0"/>
          <w:sz w:val="24"/>
          <w:szCs w:val="24"/>
          <w:lang w:val="en-US" w:eastAsia="zh-CN" w:bidi="ar"/>
        </w:rPr>
        <w:t>期间</w:t>
      </w:r>
      <w:r>
        <w:rPr>
          <w:rFonts w:hint="default" w:ascii="Times New Roman" w:hAnsi="Times New Roman" w:eastAsia="仿宋" w:cs="Times New Roman"/>
          <w:color w:val="000000"/>
          <w:kern w:val="0"/>
          <w:sz w:val="24"/>
          <w:szCs w:val="24"/>
          <w:lang w:val="en-US" w:eastAsia="zh-CN" w:bidi="ar"/>
        </w:rPr>
        <w:t>，</w:t>
      </w:r>
      <w:r>
        <w:rPr>
          <w:rFonts w:hint="eastAsia" w:cs="Times New Roman"/>
          <w:color w:val="000000"/>
          <w:kern w:val="0"/>
          <w:sz w:val="24"/>
          <w:szCs w:val="24"/>
          <w:lang w:val="en-US" w:eastAsia="zh-CN" w:bidi="ar"/>
        </w:rPr>
        <w:t>由于国家风电发展政策的重心逐渐向海上发电转移（如《</w:t>
      </w:r>
      <w:r>
        <w:rPr>
          <w:rFonts w:hint="eastAsia" w:cs="Times New Roman"/>
          <w:color w:val="000000"/>
          <w:kern w:val="0"/>
          <w:lang w:bidi="ar"/>
        </w:rPr>
        <w:t>关于加快建立健全绿色低碳循环发展经济体系的指导意见</w:t>
      </w:r>
      <w:r>
        <w:rPr>
          <w:rFonts w:hint="eastAsia" w:cs="Times New Roman"/>
          <w:color w:val="000000"/>
          <w:kern w:val="0"/>
          <w:sz w:val="24"/>
          <w:szCs w:val="24"/>
          <w:lang w:val="en-US" w:eastAsia="zh-CN" w:bidi="ar"/>
        </w:rPr>
        <w:t>》）、社会用电量的持续增长以及需要达到碳达峰碳中和的背景下，</w:t>
      </w:r>
      <w:r>
        <w:rPr>
          <w:rFonts w:hint="default" w:ascii="Times New Roman" w:hAnsi="Times New Roman" w:eastAsia="仿宋" w:cs="Times New Roman"/>
          <w:color w:val="000000"/>
          <w:kern w:val="0"/>
          <w:sz w:val="24"/>
          <w:szCs w:val="24"/>
          <w:lang w:val="en-US" w:eastAsia="zh-CN" w:bidi="ar"/>
        </w:rPr>
        <w:t>我国海洋风能发电装备制造技术研发速度开始明显加快，特别是到了2022年，专利申请量达到了近20年间的峰值1316件，</w:t>
      </w:r>
      <w:r>
        <w:rPr>
          <w:rFonts w:hint="eastAsia" w:ascii="Times New Roman" w:hAnsi="Times New Roman" w:cs="Times New Roman"/>
          <w:color w:val="000000"/>
          <w:kern w:val="0"/>
          <w:sz w:val="24"/>
          <w:szCs w:val="24"/>
          <w:lang w:val="en-US" w:eastAsia="zh-CN" w:bidi="ar"/>
        </w:rPr>
        <w:t>但由于专利授权过程存在一定的滞后性，</w:t>
      </w:r>
      <w:r>
        <w:rPr>
          <w:rFonts w:hint="default" w:ascii="Times New Roman" w:hAnsi="Times New Roman" w:cs="Times New Roman"/>
          <w:color w:val="000000"/>
          <w:kern w:val="0"/>
          <w:sz w:val="24"/>
          <w:szCs w:val="24"/>
          <w:lang w:val="en-US" w:eastAsia="zh-CN" w:bidi="ar"/>
        </w:rPr>
        <w:t>海洋风能发电装备制造</w:t>
      </w:r>
      <w:r>
        <w:rPr>
          <w:rFonts w:hint="default" w:ascii="Times New Roman" w:hAnsi="Times New Roman" w:eastAsia="仿宋" w:cs="Times New Roman"/>
          <w:color w:val="000000"/>
          <w:kern w:val="0"/>
          <w:sz w:val="24"/>
          <w:szCs w:val="24"/>
          <w:lang w:val="en-US" w:eastAsia="zh-CN" w:bidi="ar"/>
        </w:rPr>
        <w:t>技术</w:t>
      </w:r>
      <w:r>
        <w:rPr>
          <w:rFonts w:hint="eastAsia" w:cs="Times New Roman"/>
          <w:color w:val="000000"/>
          <w:kern w:val="0"/>
          <w:sz w:val="24"/>
          <w:szCs w:val="24"/>
          <w:lang w:val="en-US" w:eastAsia="zh-CN" w:bidi="ar"/>
        </w:rPr>
        <w:t>的专利授权量于2023年才达到近20年的最高位1795件</w:t>
      </w:r>
      <w:r>
        <w:rPr>
          <w:rFonts w:hint="default" w:ascii="Times New Roman" w:hAnsi="Times New Roman" w:eastAsia="仿宋" w:cs="Times New Roman"/>
          <w:color w:val="000000"/>
          <w:kern w:val="0"/>
          <w:sz w:val="24"/>
          <w:szCs w:val="24"/>
          <w:lang w:val="en-US" w:eastAsia="zh-CN" w:bidi="ar"/>
        </w:rPr>
        <w:t>。</w:t>
      </w:r>
    </w:p>
    <w:p w14:paraId="57934BFE">
      <w:pPr>
        <w:ind w:left="0" w:leftChars="0" w:firstLine="0" w:firstLineChars="0"/>
        <w:jc w:val="center"/>
        <w:rPr>
          <w:b/>
          <w:bCs/>
        </w:rPr>
      </w:pPr>
      <w:r>
        <w:drawing>
          <wp:inline distT="0" distB="0" distL="114300" distR="114300">
            <wp:extent cx="5219700" cy="2743200"/>
            <wp:effectExtent l="4445" t="4445" r="14605" b="14605"/>
            <wp:docPr id="5" name="图表 4" descr="7b0a202020202263686172745265734964223a202232303436383738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8E7804F">
      <w:pPr>
        <w:pStyle w:val="4"/>
        <w:ind w:left="0" w:leftChars="0" w:firstLine="0" w:firstLineChars="0"/>
        <w:rPr>
          <w:rFonts w:hint="eastAsia"/>
          <w:color w:val="0070C0"/>
        </w:rPr>
      </w:pPr>
      <w:bookmarkStart w:id="1" w:name="_Ref1174"/>
      <w:r>
        <w:t xml:space="preserve">图 </w:t>
      </w:r>
      <w:r>
        <w:fldChar w:fldCharType="begin"/>
      </w:r>
      <w:r>
        <w:instrText xml:space="preserve"> SEQ 图 \* ARABIC </w:instrText>
      </w:r>
      <w:r>
        <w:fldChar w:fldCharType="separate"/>
      </w:r>
      <w:r>
        <w:t>1</w:t>
      </w:r>
      <w:r>
        <w:fldChar w:fldCharType="end"/>
      </w:r>
      <w:bookmarkEnd w:id="1"/>
      <w:r>
        <w:rPr>
          <w:rFonts w:hint="eastAsia"/>
          <w:lang w:eastAsia="zh-CN"/>
        </w:rPr>
        <w:t xml:space="preserve"> 中国</w:t>
      </w:r>
      <w:r>
        <w:rPr>
          <w:rFonts w:hint="eastAsia"/>
          <w:lang w:val="en-US" w:eastAsia="zh-CN"/>
        </w:rPr>
        <w:t>海洋风能发电装备制造</w:t>
      </w:r>
      <w:r>
        <w:rPr>
          <w:rFonts w:hint="eastAsia"/>
          <w:lang w:eastAsia="zh-CN"/>
        </w:rPr>
        <w:t>专利申请量和授权量趋势图（单位：件）</w:t>
      </w:r>
    </w:p>
    <w:p w14:paraId="4CC5AEDA">
      <w:pPr>
        <w:pStyle w:val="2"/>
        <w:spacing w:before="156" w:after="312"/>
        <w:rPr>
          <w:rFonts w:hint="eastAsia" w:eastAsia="仿宋"/>
          <w:lang w:val="en-US" w:eastAsia="zh-CN"/>
        </w:rPr>
      </w:pPr>
      <w:r>
        <w:rPr>
          <w:rFonts w:hint="eastAsia"/>
        </w:rPr>
        <w:t>专利布局现状</w:t>
      </w:r>
    </w:p>
    <w:p w14:paraId="4E85EDC9">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_Ref30992 \h </w:instrText>
      </w:r>
      <w:r>
        <w:rPr>
          <w:rFonts w:ascii="仿宋" w:hAnsi="仿宋" w:eastAsia="仿宋" w:cs="仿宋"/>
          <w:color w:val="000000"/>
          <w:kern w:val="0"/>
          <w:sz w:val="24"/>
          <w:szCs w:val="24"/>
          <w:lang w:val="en-US" w:eastAsia="zh-CN" w:bidi="ar"/>
        </w:rPr>
        <w:fldChar w:fldCharType="separate"/>
      </w:r>
      <w:r>
        <w:t>图 2</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专利在中国区域的申请、授权分布情况。</w:t>
      </w:r>
      <w:r>
        <w:rPr>
          <w:rFonts w:hint="eastAsia" w:ascii="仿宋" w:hAnsi="仿宋" w:cs="仿宋"/>
          <w:color w:val="000000"/>
          <w:kern w:val="0"/>
          <w:sz w:val="24"/>
          <w:szCs w:val="24"/>
          <w:lang w:val="en-US" w:eastAsia="zh-CN" w:bidi="ar"/>
        </w:rPr>
        <w:t>如图所示，海洋风能发电装备制造</w:t>
      </w:r>
      <w:r>
        <w:rPr>
          <w:rFonts w:hint="eastAsia" w:ascii="仿宋" w:hAnsi="仿宋" w:eastAsia="仿宋" w:cs="仿宋"/>
          <w:color w:val="000000"/>
          <w:kern w:val="0"/>
          <w:sz w:val="24"/>
          <w:szCs w:val="24"/>
          <w:lang w:val="en-US" w:eastAsia="zh-CN" w:bidi="ar"/>
        </w:rPr>
        <w:t>领域的创新发明活动在地理分布上呈现出显著的</w:t>
      </w:r>
      <w:r>
        <w:rPr>
          <w:rFonts w:hint="eastAsia" w:ascii="仿宋" w:hAnsi="仿宋" w:cs="仿宋"/>
          <w:color w:val="000000"/>
          <w:kern w:val="0"/>
          <w:sz w:val="24"/>
          <w:szCs w:val="24"/>
          <w:lang w:val="en-US" w:eastAsia="zh-CN" w:bidi="ar"/>
        </w:rPr>
        <w:t>沿海地区</w:t>
      </w:r>
      <w:r>
        <w:rPr>
          <w:rFonts w:hint="eastAsia" w:ascii="仿宋" w:hAnsi="仿宋" w:eastAsia="仿宋" w:cs="仿宋"/>
          <w:color w:val="000000"/>
          <w:kern w:val="0"/>
          <w:sz w:val="24"/>
          <w:szCs w:val="24"/>
          <w:lang w:val="en-US" w:eastAsia="zh-CN" w:bidi="ar"/>
        </w:rPr>
        <w:t>集中特征</w:t>
      </w:r>
      <w:r>
        <w:rPr>
          <w:rFonts w:hint="eastAsia" w:ascii="仿宋" w:hAnsi="仿宋" w:cs="仿宋"/>
          <w:color w:val="000000"/>
          <w:kern w:val="0"/>
          <w:sz w:val="24"/>
          <w:szCs w:val="24"/>
          <w:lang w:val="en-US" w:eastAsia="zh-CN" w:bidi="ar"/>
        </w:rPr>
        <w:t>，这是由于沿海地区紧邻海洋，</w:t>
      </w:r>
      <w:r>
        <w:rPr>
          <w:rFonts w:hint="eastAsia" w:ascii="仿宋" w:hAnsi="仿宋" w:cs="仿宋"/>
          <w:color w:val="000000"/>
          <w:kern w:val="0"/>
          <w:lang w:bidi="ar"/>
        </w:rPr>
        <w:t>这些地区能够更容易地获取海上风能资源，并有效地将风能转化为电能</w:t>
      </w:r>
      <w:r>
        <w:rPr>
          <w:rFonts w:hint="eastAsia" w:ascii="仿宋" w:hAnsi="仿宋" w:cs="仿宋"/>
          <w:color w:val="000000"/>
          <w:kern w:val="0"/>
          <w:sz w:val="24"/>
          <w:szCs w:val="24"/>
          <w:lang w:val="en-US" w:eastAsia="zh-CN" w:bidi="ar"/>
        </w:rPr>
        <w:t>。</w:t>
      </w:r>
      <w:r>
        <w:rPr>
          <w:rFonts w:hint="eastAsia"/>
        </w:rPr>
        <w:t>同时，沿海地区的港口设施完善，有利于大型海上风电装备的运输和安装，为</w:t>
      </w:r>
      <w:r>
        <w:rPr>
          <w:rFonts w:hint="eastAsia"/>
          <w:lang w:val="en-US" w:eastAsia="zh-CN"/>
        </w:rPr>
        <w:t>海洋风能发电装备制造技术研发</w:t>
      </w:r>
      <w:r>
        <w:rPr>
          <w:rFonts w:hint="eastAsia"/>
        </w:rPr>
        <w:t>的开展提供了良好的基础设施支持。</w:t>
      </w:r>
      <w:r>
        <w:rPr>
          <w:rFonts w:hint="eastAsia" w:ascii="仿宋" w:hAnsi="仿宋" w:eastAsia="仿宋" w:cs="仿宋"/>
          <w:color w:val="000000"/>
          <w:kern w:val="0"/>
          <w:sz w:val="24"/>
          <w:szCs w:val="24"/>
          <w:lang w:val="en-US" w:eastAsia="zh-CN" w:bidi="ar"/>
        </w:rPr>
        <w:t>该领域的创新活动主要聚焦于江苏省、广东省以及浙江省这三个核心省市。其中</w:t>
      </w:r>
      <w:r>
        <w:rPr>
          <w:rFonts w:hint="eastAsia" w:ascii="仿宋" w:hAnsi="仿宋" w:cs="仿宋"/>
          <w:color w:val="000000"/>
          <w:kern w:val="0"/>
          <w:sz w:val="24"/>
          <w:szCs w:val="24"/>
          <w:lang w:val="en-US" w:eastAsia="zh-CN" w:bidi="ar"/>
        </w:rPr>
        <w:t>，</w:t>
      </w:r>
      <w:r>
        <w:rPr>
          <w:rFonts w:hint="default" w:ascii="仿宋" w:hAnsi="仿宋" w:cs="仿宋"/>
          <w:color w:val="000000"/>
          <w:kern w:val="0"/>
          <w:sz w:val="24"/>
          <w:szCs w:val="24"/>
          <w:lang w:val="en-US" w:eastAsia="zh-CN" w:bidi="ar"/>
        </w:rPr>
        <w:t>江苏省在该领域的创新活动中表现尤为突出</w:t>
      </w:r>
      <w:r>
        <w:rPr>
          <w:rFonts w:hint="eastAsia" w:ascii="仿宋" w:hAnsi="仿宋" w:eastAsia="仿宋" w:cs="仿宋"/>
          <w:color w:val="000000"/>
          <w:kern w:val="0"/>
          <w:sz w:val="24"/>
          <w:szCs w:val="24"/>
          <w:lang w:val="en-US" w:eastAsia="zh-CN" w:bidi="ar"/>
        </w:rPr>
        <w:t>，其专利申请量高达</w:t>
      </w:r>
      <w:r>
        <w:rPr>
          <w:rFonts w:hint="default" w:ascii="Times New Roman" w:hAnsi="Times New Roman" w:eastAsia="仿宋" w:cs="Times New Roman"/>
          <w:color w:val="000000"/>
          <w:kern w:val="0"/>
          <w:sz w:val="24"/>
          <w:szCs w:val="24"/>
          <w:lang w:val="en-US" w:eastAsia="zh-CN" w:bidi="ar"/>
        </w:rPr>
        <w:t>2440件</w:t>
      </w:r>
      <w:r>
        <w:rPr>
          <w:rFonts w:hint="eastAsia" w:ascii="仿宋" w:hAnsi="仿宋" w:eastAsia="仿宋" w:cs="仿宋"/>
          <w:color w:val="000000"/>
          <w:kern w:val="0"/>
          <w:sz w:val="24"/>
          <w:szCs w:val="24"/>
          <w:lang w:val="en-US" w:eastAsia="zh-CN" w:bidi="ar"/>
        </w:rPr>
        <w:t>，位居全国首位</w:t>
      </w:r>
      <w:r>
        <w:rPr>
          <w:rFonts w:hint="eastAsia" w:ascii="仿宋" w:hAnsi="仿宋" w:cs="仿宋"/>
          <w:color w:val="000000"/>
          <w:kern w:val="0"/>
          <w:sz w:val="24"/>
          <w:szCs w:val="24"/>
          <w:lang w:val="en-US" w:eastAsia="zh-CN" w:bidi="ar"/>
        </w:rPr>
        <w:t>，其</w:t>
      </w:r>
      <w:r>
        <w:rPr>
          <w:rFonts w:hint="eastAsia" w:ascii="仿宋" w:hAnsi="仿宋" w:eastAsia="仿宋" w:cs="仿宋"/>
          <w:color w:val="000000"/>
          <w:kern w:val="0"/>
          <w:sz w:val="24"/>
          <w:szCs w:val="24"/>
          <w:lang w:val="en-US" w:eastAsia="zh-CN" w:bidi="ar"/>
        </w:rPr>
        <w:t>专利授权量</w:t>
      </w:r>
      <w:r>
        <w:rPr>
          <w:rFonts w:hint="eastAsia" w:ascii="仿宋" w:hAnsi="仿宋" w:cs="仿宋"/>
          <w:color w:val="000000"/>
          <w:kern w:val="0"/>
          <w:sz w:val="24"/>
          <w:szCs w:val="24"/>
          <w:lang w:val="en-US" w:eastAsia="zh-CN" w:bidi="ar"/>
        </w:rPr>
        <w:t>亦高达</w:t>
      </w:r>
      <w:r>
        <w:rPr>
          <w:rFonts w:hint="eastAsia" w:eastAsia="宋体" w:cs="Times New Roman"/>
          <w:color w:val="000000"/>
          <w:kern w:val="0"/>
          <w:sz w:val="24"/>
          <w:szCs w:val="24"/>
          <w:lang w:val="en-US" w:eastAsia="zh-CN" w:bidi="ar"/>
        </w:rPr>
        <w:t>1684</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广东省、浙江省、北京市、上海市、山东省和天津市该六个省市紧随其后，它们的专利申请量与授权量均超过</w:t>
      </w:r>
      <w:r>
        <w:rPr>
          <w:rFonts w:hint="eastAsia" w:cs="Times New Roman"/>
          <w:color w:val="000000"/>
          <w:kern w:val="0"/>
          <w:sz w:val="24"/>
          <w:szCs w:val="24"/>
          <w:lang w:val="en-US" w:eastAsia="zh-CN" w:bidi="ar"/>
        </w:rPr>
        <w:t>700</w:t>
      </w:r>
      <w:r>
        <w:rPr>
          <w:rFonts w:hint="default" w:ascii="Times New Roman" w:hAnsi="Times New Roman" w:cs="Times New Roman"/>
          <w:color w:val="000000"/>
          <w:kern w:val="0"/>
          <w:sz w:val="24"/>
          <w:szCs w:val="24"/>
          <w:lang w:val="en-US" w:eastAsia="zh-CN" w:bidi="ar"/>
        </w:rPr>
        <w:t>件</w:t>
      </w:r>
      <w:r>
        <w:rPr>
          <w:rFonts w:hint="eastAsia" w:cs="Times New Roman"/>
          <w:color w:val="000000"/>
          <w:kern w:val="0"/>
          <w:sz w:val="24"/>
          <w:szCs w:val="24"/>
          <w:lang w:val="en-US" w:eastAsia="zh-CN" w:bidi="ar"/>
        </w:rPr>
        <w:t>，显示出在该六个省市中强劲的创新实力和良好的发展前景</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此外，辽宁省、湖南省、陕西省、安徽省、河北省和四川省在该领域的专利申请量排名分别位于第10至第15位</w:t>
      </w:r>
      <w:r>
        <w:rPr>
          <w:rFonts w:hint="eastAsia" w:ascii="仿宋" w:hAnsi="仿宋" w:eastAsia="仿宋" w:cs="仿宋"/>
          <w:color w:val="000000"/>
          <w:kern w:val="0"/>
          <w:sz w:val="24"/>
          <w:szCs w:val="24"/>
          <w:lang w:val="en-US" w:eastAsia="zh-CN" w:bidi="ar"/>
        </w:rPr>
        <w:t>，其专利授权量在</w:t>
      </w:r>
      <w:r>
        <w:rPr>
          <w:rFonts w:hint="eastAsia" w:eastAsia="宋体" w:cs="Times New Roman"/>
          <w:color w:val="000000"/>
          <w:kern w:val="0"/>
          <w:sz w:val="24"/>
          <w:szCs w:val="24"/>
          <w:lang w:val="en-US" w:eastAsia="zh-CN" w:bidi="ar"/>
        </w:rPr>
        <w:t>150-500</w:t>
      </w:r>
      <w:r>
        <w:rPr>
          <w:rFonts w:hint="eastAsia" w:ascii="仿宋" w:hAnsi="仿宋" w:eastAsia="仿宋" w:cs="仿宋"/>
          <w:color w:val="000000"/>
          <w:kern w:val="0"/>
          <w:sz w:val="24"/>
          <w:szCs w:val="24"/>
          <w:lang w:val="en-US" w:eastAsia="zh-CN" w:bidi="ar"/>
        </w:rPr>
        <w:t>件内</w:t>
      </w:r>
      <w:r>
        <w:rPr>
          <w:rFonts w:hint="eastAsia" w:ascii="仿宋" w:hAnsi="仿宋" w:cs="仿宋"/>
          <w:color w:val="000000"/>
          <w:kern w:val="0"/>
          <w:sz w:val="24"/>
          <w:szCs w:val="24"/>
          <w:lang w:val="en-US" w:eastAsia="zh-CN" w:bidi="ar"/>
        </w:rPr>
        <w:t>，表明在以上提及到的六个省市在海洋风能发电装备制造领域的创新活动中仍具备一定的竞争力和潜力</w:t>
      </w:r>
      <w:r>
        <w:rPr>
          <w:rFonts w:hint="eastAsia" w:ascii="仿宋" w:hAnsi="仿宋" w:eastAsia="仿宋" w:cs="仿宋"/>
          <w:color w:val="000000"/>
          <w:kern w:val="0"/>
          <w:sz w:val="24"/>
          <w:szCs w:val="24"/>
          <w:lang w:val="en-US" w:eastAsia="zh-CN" w:bidi="ar"/>
        </w:rPr>
        <w:t>。</w:t>
      </w:r>
    </w:p>
    <w:p w14:paraId="0D08F7BE">
      <w:pPr>
        <w:ind w:firstLine="0" w:firstLineChars="0"/>
        <w:jc w:val="center"/>
      </w:pPr>
      <w:r>
        <w:rPr>
          <w:rFonts w:hint="eastAsia" w:ascii="仿宋" w:hAnsi="仿宋" w:eastAsia="仿宋" w:cs="仿宋"/>
          <w:color w:val="000000"/>
          <w:kern w:val="0"/>
          <w:sz w:val="24"/>
          <w:szCs w:val="24"/>
          <w:lang w:val="en-US" w:eastAsia="zh-CN" w:bidi="ar"/>
        </w:rPr>
        <w:drawing>
          <wp:anchor distT="0" distB="0" distL="114300" distR="114300" simplePos="0" relativeHeight="251660288" behindDoc="0" locked="0" layoutInCell="1" allowOverlap="1">
            <wp:simplePos x="0" y="0"/>
            <wp:positionH relativeFrom="column">
              <wp:posOffset>18415</wp:posOffset>
            </wp:positionH>
            <wp:positionV relativeFrom="paragraph">
              <wp:posOffset>175260</wp:posOffset>
            </wp:positionV>
            <wp:extent cx="2733040" cy="2018665"/>
            <wp:effectExtent l="0" t="0" r="10160" b="635"/>
            <wp:wrapNone/>
            <wp:docPr id="7" name="图片 7" descr="全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全国"/>
                    <pic:cNvPicPr>
                      <a:picLocks noChangeAspect="1"/>
                    </pic:cNvPicPr>
                  </pic:nvPicPr>
                  <pic:blipFill>
                    <a:blip r:embed="rId13"/>
                    <a:srcRect l="10460" t="4158" r="17727" b="2503"/>
                    <a:stretch>
                      <a:fillRect/>
                    </a:stretch>
                  </pic:blipFill>
                  <pic:spPr>
                    <a:xfrm>
                      <a:off x="0" y="0"/>
                      <a:ext cx="2733040" cy="2018665"/>
                    </a:xfrm>
                    <a:prstGeom prst="rect">
                      <a:avLst/>
                    </a:prstGeom>
                  </pic:spPr>
                </pic:pic>
              </a:graphicData>
            </a:graphic>
          </wp:anchor>
        </w:drawing>
      </w:r>
      <w:r>
        <w:rPr>
          <w:rFonts w:hint="eastAsia" w:ascii="仿宋" w:hAnsi="仿宋" w:eastAsia="仿宋" w:cs="仿宋"/>
          <w:color w:val="000000"/>
          <w:kern w:val="0"/>
          <w:sz w:val="24"/>
          <w:szCs w:val="24"/>
          <w:lang w:val="en-US" w:eastAsia="zh-CN" w:bidi="ar"/>
        </w:rPr>
        <w:drawing>
          <wp:anchor distT="0" distB="0" distL="114300" distR="114300" simplePos="0" relativeHeight="251661312" behindDoc="0" locked="0" layoutInCell="1" allowOverlap="1">
            <wp:simplePos x="0" y="0"/>
            <wp:positionH relativeFrom="column">
              <wp:posOffset>360045</wp:posOffset>
            </wp:positionH>
            <wp:positionV relativeFrom="paragraph">
              <wp:posOffset>2254885</wp:posOffset>
            </wp:positionV>
            <wp:extent cx="904875" cy="375285"/>
            <wp:effectExtent l="0" t="0" r="9525" b="5715"/>
            <wp:wrapNone/>
            <wp:docPr id="6" name="图片 6" descr="全国（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全国（图例）、"/>
                    <pic:cNvPicPr>
                      <a:picLocks noChangeAspect="1"/>
                    </pic:cNvPicPr>
                  </pic:nvPicPr>
                  <pic:blipFill>
                    <a:blip r:embed="rId14"/>
                    <a:stretch>
                      <a:fillRect/>
                    </a:stretch>
                  </pic:blipFill>
                  <pic:spPr>
                    <a:xfrm>
                      <a:off x="0" y="0"/>
                      <a:ext cx="904875" cy="375285"/>
                    </a:xfrm>
                    <a:prstGeom prst="rect">
                      <a:avLst/>
                    </a:prstGeom>
                  </pic:spPr>
                </pic:pic>
              </a:graphicData>
            </a:graphic>
          </wp:anchor>
        </w:drawing>
      </w:r>
      <w:r>
        <w:drawing>
          <wp:inline distT="0" distB="0" distL="114300" distR="114300">
            <wp:extent cx="5219700" cy="3251200"/>
            <wp:effectExtent l="0" t="0" r="0" b="6350"/>
            <wp:docPr id="1"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71416D">
      <w:pPr>
        <w:pStyle w:val="4"/>
        <w:ind w:firstLine="0" w:firstLineChars="0"/>
        <w:rPr>
          <w:rFonts w:hint="eastAsia"/>
          <w:lang w:eastAsia="zh-CN"/>
        </w:rPr>
      </w:pPr>
      <w:r>
        <w:t xml:space="preserve">图 </w:t>
      </w:r>
      <w:r>
        <w:fldChar w:fldCharType="begin"/>
      </w:r>
      <w:r>
        <w:instrText xml:space="preserve"> SEQ 图 \* ARABIC </w:instrText>
      </w:r>
      <w:r>
        <w:fldChar w:fldCharType="separate"/>
      </w:r>
      <w:r>
        <w:t>2</w:t>
      </w:r>
      <w:r>
        <w:fldChar w:fldCharType="end"/>
      </w:r>
      <w:r>
        <w:rPr>
          <w:rFonts w:hint="eastAsia"/>
          <w:lang w:eastAsia="zh-CN"/>
        </w:rPr>
        <w:t xml:space="preserve"> 中国</w:t>
      </w:r>
      <w:r>
        <w:rPr>
          <w:rFonts w:hint="eastAsia"/>
          <w:lang w:val="en-US" w:eastAsia="zh-CN"/>
        </w:rPr>
        <w:t>海洋风能发电装备制造</w:t>
      </w:r>
      <w:r>
        <w:rPr>
          <w:rFonts w:hint="eastAsia"/>
          <w:lang w:eastAsia="zh-CN"/>
        </w:rPr>
        <w:t>专利申请量和授权量区域分布情况（单位：件）</w:t>
      </w:r>
    </w:p>
    <w:p w14:paraId="23161F01">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fldChar w:fldCharType="begin"/>
      </w:r>
      <w:r>
        <w:rPr>
          <w:rFonts w:hint="eastAsia" w:ascii="仿宋" w:hAnsi="仿宋" w:eastAsia="仿宋" w:cs="仿宋"/>
          <w:color w:val="000000"/>
          <w:kern w:val="0"/>
          <w:sz w:val="24"/>
          <w:szCs w:val="24"/>
          <w:lang w:val="en-US" w:eastAsia="zh-CN" w:bidi="ar"/>
        </w:rPr>
        <w:instrText xml:space="preserve"> REF _Ref13099 \h </w:instrText>
      </w:r>
      <w:r>
        <w:rPr>
          <w:rFonts w:hint="eastAsia" w:ascii="仿宋" w:hAnsi="仿宋" w:eastAsia="仿宋" w:cs="仿宋"/>
          <w:color w:val="000000"/>
          <w:kern w:val="0"/>
          <w:sz w:val="24"/>
          <w:szCs w:val="24"/>
          <w:lang w:val="en-US" w:eastAsia="zh-CN" w:bidi="ar"/>
        </w:rPr>
        <w:fldChar w:fldCharType="separate"/>
      </w:r>
      <w:r>
        <w:rPr>
          <w:rFonts w:hint="eastAsia" w:ascii="仿宋" w:hAnsi="仿宋" w:eastAsia="仿宋" w:cs="仿宋"/>
          <w:color w:val="000000"/>
          <w:kern w:val="0"/>
          <w:sz w:val="24"/>
          <w:szCs w:val="24"/>
          <w:lang w:val="en-US" w:eastAsia="zh-CN" w:bidi="ar"/>
        </w:rPr>
        <w:t>图 3</w:t>
      </w:r>
      <w:r>
        <w:rPr>
          <w:rFonts w:hint="eastAsia"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专利在广东区域的申请、授权分布情况。</w:t>
      </w:r>
      <w:r>
        <w:rPr>
          <w:rFonts w:hint="eastAsia" w:ascii="仿宋" w:hAnsi="仿宋" w:cs="仿宋"/>
          <w:color w:val="000000"/>
          <w:kern w:val="0"/>
          <w:sz w:val="24"/>
          <w:szCs w:val="24"/>
          <w:lang w:val="en-US" w:eastAsia="zh-CN" w:bidi="ar"/>
        </w:rPr>
        <w:t>如图所示，</w:t>
      </w:r>
      <w:r>
        <w:rPr>
          <w:rFonts w:hint="eastAsia" w:ascii="仿宋" w:hAnsi="仿宋" w:eastAsia="仿宋" w:cs="仿宋"/>
          <w:color w:val="000000"/>
          <w:kern w:val="0"/>
          <w:sz w:val="24"/>
          <w:szCs w:val="24"/>
          <w:lang w:val="en-US" w:eastAsia="zh-CN" w:bidi="ar"/>
        </w:rPr>
        <w:t>广东省</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领域的技术创新资源主要集中于广州、</w:t>
      </w:r>
      <w:r>
        <w:rPr>
          <w:rFonts w:hint="eastAsia" w:ascii="仿宋" w:hAnsi="仿宋" w:cs="仿宋"/>
          <w:color w:val="000000"/>
          <w:kern w:val="0"/>
          <w:sz w:val="24"/>
          <w:szCs w:val="24"/>
          <w:lang w:val="en-US" w:eastAsia="zh-CN" w:bidi="ar"/>
        </w:rPr>
        <w:t>中山、深圳</w:t>
      </w:r>
      <w:r>
        <w:rPr>
          <w:rFonts w:hint="eastAsia" w:ascii="仿宋" w:hAnsi="仿宋" w:eastAsia="仿宋" w:cs="仿宋"/>
          <w:color w:val="000000"/>
          <w:kern w:val="0"/>
          <w:sz w:val="24"/>
          <w:szCs w:val="24"/>
          <w:lang w:val="en-US" w:eastAsia="zh-CN" w:bidi="ar"/>
        </w:rPr>
        <w:t>及</w:t>
      </w:r>
      <w:r>
        <w:rPr>
          <w:rFonts w:hint="eastAsia" w:ascii="仿宋" w:hAnsi="仿宋" w:cs="仿宋"/>
          <w:color w:val="000000"/>
          <w:kern w:val="0"/>
          <w:sz w:val="24"/>
          <w:szCs w:val="24"/>
          <w:lang w:val="en-US" w:eastAsia="zh-CN" w:bidi="ar"/>
        </w:rPr>
        <w:t>阳江</w:t>
      </w:r>
      <w:r>
        <w:rPr>
          <w:rFonts w:hint="eastAsia" w:ascii="仿宋" w:hAnsi="仿宋" w:eastAsia="仿宋" w:cs="仿宋"/>
          <w:color w:val="000000"/>
          <w:kern w:val="0"/>
          <w:sz w:val="24"/>
          <w:szCs w:val="24"/>
          <w:lang w:val="en-US" w:eastAsia="zh-CN" w:bidi="ar"/>
        </w:rPr>
        <w:t>这四个核心城市。广州凭借其压倒性的技术创新实力，以</w:t>
      </w:r>
      <w:r>
        <w:rPr>
          <w:rFonts w:hint="default" w:ascii="Times New Roman" w:hAnsi="Times New Roman" w:eastAsia="仿宋" w:cs="Times New Roman"/>
          <w:color w:val="000000"/>
          <w:kern w:val="0"/>
          <w:sz w:val="24"/>
          <w:szCs w:val="24"/>
          <w:lang w:val="en-US" w:eastAsia="zh-CN" w:bidi="ar"/>
        </w:rPr>
        <w:t>768</w:t>
      </w:r>
      <w:r>
        <w:rPr>
          <w:rFonts w:hint="eastAsia" w:ascii="仿宋" w:hAnsi="仿宋" w:eastAsia="仿宋" w:cs="仿宋"/>
          <w:color w:val="000000"/>
          <w:kern w:val="0"/>
          <w:sz w:val="24"/>
          <w:szCs w:val="24"/>
          <w:lang w:val="en-US" w:eastAsia="zh-CN" w:bidi="ar"/>
        </w:rPr>
        <w:t>件的专利申请量独占鳌头</w:t>
      </w:r>
      <w:r>
        <w:rPr>
          <w:rFonts w:hint="eastAsia" w:ascii="仿宋" w:hAnsi="仿宋" w:cs="仿宋"/>
          <w:color w:val="000000"/>
          <w:kern w:val="0"/>
          <w:sz w:val="24"/>
          <w:szCs w:val="24"/>
          <w:lang w:val="en-US" w:eastAsia="zh-CN" w:bidi="ar"/>
        </w:rPr>
        <w:t>，展现出极高的技术创新活跃度与领先优势</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中山</w:t>
      </w:r>
      <w:r>
        <w:rPr>
          <w:rFonts w:hint="eastAsia" w:ascii="仿宋" w:hAnsi="仿宋" w:eastAsia="仿宋" w:cs="仿宋"/>
          <w:color w:val="000000"/>
          <w:kern w:val="0"/>
          <w:sz w:val="24"/>
          <w:szCs w:val="24"/>
          <w:lang w:val="en-US" w:eastAsia="zh-CN" w:bidi="ar"/>
        </w:rPr>
        <w:t>则以</w:t>
      </w:r>
      <w:r>
        <w:rPr>
          <w:rFonts w:hint="default" w:ascii="Times New Roman" w:hAnsi="Times New Roman" w:cs="Times New Roman"/>
          <w:color w:val="000000"/>
          <w:kern w:val="0"/>
          <w:sz w:val="24"/>
          <w:szCs w:val="24"/>
          <w:lang w:val="en-US" w:eastAsia="zh-CN" w:bidi="ar"/>
        </w:rPr>
        <w:t>285</w:t>
      </w:r>
      <w:r>
        <w:rPr>
          <w:rFonts w:hint="eastAsia" w:ascii="仿宋" w:hAnsi="仿宋" w:eastAsia="仿宋" w:cs="仿宋"/>
          <w:color w:val="000000"/>
          <w:kern w:val="0"/>
          <w:sz w:val="24"/>
          <w:szCs w:val="24"/>
          <w:lang w:val="en-US" w:eastAsia="zh-CN" w:bidi="ar"/>
        </w:rPr>
        <w:t>件的专利申请量紧随其后，位列第二，</w:t>
      </w:r>
      <w:r>
        <w:rPr>
          <w:rFonts w:hint="eastAsia" w:ascii="仿宋" w:hAnsi="仿宋" w:cs="仿宋"/>
          <w:color w:val="000000"/>
          <w:kern w:val="0"/>
          <w:sz w:val="24"/>
          <w:szCs w:val="24"/>
          <w:lang w:val="en-US" w:eastAsia="zh-CN" w:bidi="ar"/>
        </w:rPr>
        <w:t>同样显示出其在海洋风能发电装备制造技术创新方面的强劲实力</w:t>
      </w:r>
      <w:r>
        <w:rPr>
          <w:rFonts w:hint="eastAsia" w:ascii="仿宋" w:hAnsi="仿宋" w:eastAsia="仿宋" w:cs="仿宋"/>
          <w:color w:val="000000"/>
          <w:kern w:val="0"/>
          <w:sz w:val="24"/>
          <w:szCs w:val="24"/>
          <w:lang w:val="en-US" w:eastAsia="zh-CN" w:bidi="ar"/>
        </w:rPr>
        <w:t>；</w:t>
      </w:r>
      <w:r>
        <w:rPr>
          <w:rFonts w:hint="default" w:ascii="仿宋" w:hAnsi="仿宋" w:cs="仿宋"/>
          <w:color w:val="000000"/>
          <w:kern w:val="0"/>
          <w:sz w:val="24"/>
          <w:szCs w:val="24"/>
          <w:lang w:val="en-US" w:eastAsia="zh-CN" w:bidi="ar"/>
        </w:rPr>
        <w:t>深圳和阳江在海洋风能发电装备制造技术创新方面同样表现不俗，其专利申请量分别为</w:t>
      </w:r>
      <w:r>
        <w:rPr>
          <w:rFonts w:hint="default" w:ascii="Times New Roman" w:hAnsi="Times New Roman" w:cs="Times New Roman"/>
          <w:color w:val="000000"/>
          <w:kern w:val="0"/>
          <w:sz w:val="24"/>
          <w:szCs w:val="24"/>
          <w:lang w:val="en-US" w:eastAsia="zh-CN" w:bidi="ar"/>
        </w:rPr>
        <w:t>240件和125件</w:t>
      </w:r>
      <w:r>
        <w:rPr>
          <w:rFonts w:hint="default" w:ascii="仿宋" w:hAnsi="仿宋" w:cs="仿宋"/>
          <w:color w:val="000000"/>
          <w:kern w:val="0"/>
          <w:sz w:val="24"/>
          <w:szCs w:val="24"/>
          <w:lang w:val="en-US" w:eastAsia="zh-CN" w:bidi="ar"/>
        </w:rPr>
        <w:t>，专利授权量亦与申请量保持相应水平。此外，湛江、珠海、佛山等其余地市在海洋风能发电装备制造领域的专利申请量及授权量均低于120件，显示出这些地市在该领域的技术创新活动相对较为有限</w:t>
      </w:r>
      <w:r>
        <w:rPr>
          <w:rFonts w:hint="eastAsia" w:ascii="仿宋" w:hAnsi="仿宋" w:cs="仿宋"/>
          <w:color w:val="000000"/>
          <w:kern w:val="0"/>
          <w:sz w:val="24"/>
          <w:szCs w:val="24"/>
          <w:lang w:val="en-US" w:eastAsia="zh-CN" w:bidi="ar"/>
        </w:rPr>
        <w:t>。</w:t>
      </w:r>
    </w:p>
    <w:p w14:paraId="54976241">
      <w:pPr>
        <w:ind w:left="0" w:leftChars="0" w:firstLine="0" w:firstLineChars="0"/>
        <w:jc w:val="center"/>
        <w:rPr>
          <w:rFonts w:hint="default"/>
          <w:lang w:val="en-US" w:eastAsia="zh-CN"/>
        </w:rPr>
      </w:pPr>
      <w:r>
        <w:rPr>
          <w:rFonts w:hint="eastAsia" w:ascii="仿宋" w:hAnsi="仿宋" w:eastAsia="仿宋" w:cs="仿宋"/>
          <w:color w:val="000000"/>
          <w:kern w:val="0"/>
          <w:sz w:val="24"/>
          <w:szCs w:val="24"/>
          <w:lang w:val="en-US" w:eastAsia="zh-CN" w:bidi="ar"/>
        </w:rPr>
        <w:drawing>
          <wp:anchor distT="0" distB="0" distL="114300" distR="114300" simplePos="0" relativeHeight="251663360" behindDoc="0" locked="0" layoutInCell="1" allowOverlap="1">
            <wp:simplePos x="0" y="0"/>
            <wp:positionH relativeFrom="column">
              <wp:posOffset>1727200</wp:posOffset>
            </wp:positionH>
            <wp:positionV relativeFrom="paragraph">
              <wp:posOffset>1937385</wp:posOffset>
            </wp:positionV>
            <wp:extent cx="969010" cy="401320"/>
            <wp:effectExtent l="0" t="0" r="2540" b="17780"/>
            <wp:wrapNone/>
            <wp:docPr id="10" name="图片 10" descr="广东（图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广东（图例）"/>
                    <pic:cNvPicPr>
                      <a:picLocks noChangeAspect="1"/>
                    </pic:cNvPicPr>
                  </pic:nvPicPr>
                  <pic:blipFill>
                    <a:blip r:embed="rId16"/>
                    <a:stretch>
                      <a:fillRect/>
                    </a:stretch>
                  </pic:blipFill>
                  <pic:spPr>
                    <a:xfrm>
                      <a:off x="0" y="0"/>
                      <a:ext cx="969010" cy="401320"/>
                    </a:xfrm>
                    <a:prstGeom prst="rect">
                      <a:avLst/>
                    </a:prstGeom>
                  </pic:spPr>
                </pic:pic>
              </a:graphicData>
            </a:graphic>
          </wp:anchor>
        </w:drawing>
      </w:r>
      <w:r>
        <w:rPr>
          <w:rFonts w:hint="eastAsia" w:ascii="仿宋" w:hAnsi="仿宋" w:eastAsia="仿宋" w:cs="仿宋"/>
          <w:color w:val="000000"/>
          <w:kern w:val="0"/>
          <w:sz w:val="24"/>
          <w:szCs w:val="24"/>
          <w:lang w:val="en-US" w:eastAsia="zh-CN" w:bidi="ar"/>
        </w:rPr>
        <w:drawing>
          <wp:anchor distT="0" distB="0" distL="114300" distR="114300" simplePos="0" relativeHeight="251662336" behindDoc="0" locked="0" layoutInCell="1" allowOverlap="1">
            <wp:simplePos x="0" y="0"/>
            <wp:positionH relativeFrom="column">
              <wp:posOffset>67945</wp:posOffset>
            </wp:positionH>
            <wp:positionV relativeFrom="paragraph">
              <wp:posOffset>208915</wp:posOffset>
            </wp:positionV>
            <wp:extent cx="2924810" cy="2194560"/>
            <wp:effectExtent l="0" t="0" r="8890" b="15240"/>
            <wp:wrapNone/>
            <wp:docPr id="13" name="图片 13" descr="广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广东"/>
                    <pic:cNvPicPr>
                      <a:picLocks noChangeAspect="1"/>
                    </pic:cNvPicPr>
                  </pic:nvPicPr>
                  <pic:blipFill>
                    <a:blip r:embed="rId17"/>
                    <a:srcRect l="18595" t="13768" r="21752" b="7488"/>
                    <a:stretch>
                      <a:fillRect/>
                    </a:stretch>
                  </pic:blipFill>
                  <pic:spPr>
                    <a:xfrm>
                      <a:off x="0" y="0"/>
                      <a:ext cx="2924810" cy="2194560"/>
                    </a:xfrm>
                    <a:prstGeom prst="rect">
                      <a:avLst/>
                    </a:prstGeom>
                  </pic:spPr>
                </pic:pic>
              </a:graphicData>
            </a:graphic>
          </wp:anchor>
        </w:drawing>
      </w:r>
      <w:r>
        <w:drawing>
          <wp:inline distT="0" distB="0" distL="114300" distR="114300">
            <wp:extent cx="5219700" cy="3251200"/>
            <wp:effectExtent l="0" t="0" r="0" b="6350"/>
            <wp:docPr id="9"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76424967">
      <w:pPr>
        <w:keepNext w:val="0"/>
        <w:keepLines w:val="0"/>
        <w:widowControl/>
        <w:suppressLineNumbers w:val="0"/>
        <w:jc w:val="center"/>
      </w:pPr>
      <w:bookmarkStart w:id="2" w:name="_Ref13099"/>
      <w:r>
        <w:rPr>
          <w:rFonts w:ascii="黑体" w:hAnsi="宋体" w:eastAsia="黑体" w:cs="黑体"/>
          <w:color w:val="000000"/>
          <w:kern w:val="0"/>
          <w:sz w:val="18"/>
          <w:szCs w:val="18"/>
          <w:lang w:val="en-US" w:eastAsia="zh-CN" w:bidi="ar"/>
        </w:rPr>
        <w:t xml:space="preserve">图 </w:t>
      </w:r>
      <w:r>
        <w:rPr>
          <w:rFonts w:ascii="黑体" w:hAnsi="宋体" w:eastAsia="黑体" w:cs="黑体"/>
          <w:color w:val="000000"/>
          <w:kern w:val="0"/>
          <w:sz w:val="18"/>
          <w:szCs w:val="18"/>
          <w:lang w:val="en-US" w:eastAsia="zh-CN" w:bidi="ar"/>
        </w:rPr>
        <w:fldChar w:fldCharType="begin"/>
      </w:r>
      <w:r>
        <w:rPr>
          <w:rFonts w:ascii="黑体" w:hAnsi="宋体" w:eastAsia="黑体" w:cs="黑体"/>
          <w:color w:val="000000"/>
          <w:kern w:val="0"/>
          <w:sz w:val="18"/>
          <w:szCs w:val="18"/>
          <w:lang w:val="en-US" w:eastAsia="zh-CN" w:bidi="ar"/>
        </w:rPr>
        <w:instrText xml:space="preserve"> SEQ 图 \* ARABIC </w:instrText>
      </w:r>
      <w:r>
        <w:rPr>
          <w:rFonts w:ascii="黑体" w:hAnsi="宋体" w:eastAsia="黑体" w:cs="黑体"/>
          <w:color w:val="000000"/>
          <w:kern w:val="0"/>
          <w:sz w:val="18"/>
          <w:szCs w:val="18"/>
          <w:lang w:val="en-US" w:eastAsia="zh-CN" w:bidi="ar"/>
        </w:rPr>
        <w:fldChar w:fldCharType="separate"/>
      </w:r>
      <w:r>
        <w:rPr>
          <w:rFonts w:ascii="黑体" w:hAnsi="宋体" w:eastAsia="黑体" w:cs="黑体"/>
          <w:color w:val="000000"/>
          <w:kern w:val="0"/>
          <w:sz w:val="18"/>
          <w:szCs w:val="18"/>
          <w:lang w:val="en-US" w:eastAsia="zh-CN" w:bidi="ar"/>
        </w:rPr>
        <w:t>3</w:t>
      </w:r>
      <w:r>
        <w:rPr>
          <w:rFonts w:ascii="黑体" w:hAnsi="宋体" w:eastAsia="黑体" w:cs="黑体"/>
          <w:color w:val="000000"/>
          <w:kern w:val="0"/>
          <w:sz w:val="18"/>
          <w:szCs w:val="18"/>
          <w:lang w:val="en-US" w:eastAsia="zh-CN" w:bidi="ar"/>
        </w:rPr>
        <w:fldChar w:fldCharType="end"/>
      </w:r>
      <w:bookmarkEnd w:id="2"/>
      <w:r>
        <w:rPr>
          <w:rFonts w:hint="eastAsia" w:ascii="黑体" w:hAnsi="宋体" w:eastAsia="黑体" w:cs="黑体"/>
          <w:color w:val="000000"/>
          <w:kern w:val="0"/>
          <w:sz w:val="18"/>
          <w:szCs w:val="18"/>
          <w:lang w:val="en-US" w:eastAsia="zh-CN" w:bidi="ar"/>
        </w:rPr>
        <w:t xml:space="preserve"> </w:t>
      </w:r>
      <w:r>
        <w:rPr>
          <w:rFonts w:ascii="黑体" w:hAnsi="宋体" w:eastAsia="黑体" w:cs="黑体"/>
          <w:color w:val="000000"/>
          <w:kern w:val="0"/>
          <w:sz w:val="18"/>
          <w:szCs w:val="18"/>
          <w:lang w:val="en-US" w:eastAsia="zh-CN" w:bidi="ar"/>
        </w:rPr>
        <w:t>广东省</w:t>
      </w:r>
      <w:r>
        <w:rPr>
          <w:rFonts w:hint="eastAsia" w:ascii="黑体" w:hAnsi="宋体" w:eastAsia="黑体" w:cs="黑体"/>
          <w:color w:val="000000"/>
          <w:kern w:val="0"/>
          <w:sz w:val="18"/>
          <w:szCs w:val="18"/>
          <w:lang w:val="en-US" w:eastAsia="zh-CN" w:bidi="ar"/>
        </w:rPr>
        <w:t>海洋风能发电装备制造</w:t>
      </w:r>
      <w:r>
        <w:rPr>
          <w:rFonts w:ascii="黑体" w:hAnsi="宋体" w:eastAsia="黑体" w:cs="黑体"/>
          <w:color w:val="000000"/>
          <w:kern w:val="0"/>
          <w:sz w:val="18"/>
          <w:szCs w:val="18"/>
          <w:lang w:val="en-US" w:eastAsia="zh-CN" w:bidi="ar"/>
        </w:rPr>
        <w:t>专利申请量和授权量区域分布情况（单位：件）</w:t>
      </w:r>
    </w:p>
    <w:p w14:paraId="01659448">
      <w:pPr>
        <w:pStyle w:val="2"/>
        <w:spacing w:before="156" w:after="312"/>
      </w:pPr>
      <w:r>
        <w:rPr>
          <w:rFonts w:hint="eastAsia"/>
        </w:rPr>
        <w:t>专利技术构成分析</w:t>
      </w:r>
    </w:p>
    <w:p w14:paraId="2456A5F0">
      <w:pPr>
        <w:keepNext w:val="0"/>
        <w:keepLines w:val="0"/>
        <w:widowControl/>
        <w:suppressLineNumbers w:val="0"/>
        <w:jc w:val="left"/>
      </w:pP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_Ref14481 \h </w:instrText>
      </w:r>
      <w:r>
        <w:rPr>
          <w:rFonts w:ascii="仿宋" w:hAnsi="仿宋" w:eastAsia="仿宋" w:cs="仿宋"/>
          <w:color w:val="000000"/>
          <w:kern w:val="0"/>
          <w:sz w:val="24"/>
          <w:szCs w:val="24"/>
          <w:lang w:val="en-US" w:eastAsia="zh-CN" w:bidi="ar"/>
        </w:rPr>
        <w:fldChar w:fldCharType="separate"/>
      </w:r>
      <w:r>
        <w:t>表 2</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领域各技术分支的专利申请分布情况。由表可知，</w:t>
      </w:r>
      <w:r>
        <w:rPr>
          <w:rFonts w:hint="eastAsia" w:ascii="仿宋" w:hAnsi="仿宋" w:cs="仿宋"/>
          <w:color w:val="000000"/>
          <w:kern w:val="0"/>
          <w:sz w:val="24"/>
          <w:szCs w:val="24"/>
          <w:lang w:val="en-US" w:eastAsia="zh-CN" w:bidi="ar"/>
        </w:rPr>
        <w:t>海洋风能发电装备制造的</w:t>
      </w:r>
      <w:r>
        <w:rPr>
          <w:rFonts w:hint="eastAsia" w:ascii="仿宋" w:hAnsi="仿宋" w:eastAsia="仿宋" w:cs="仿宋"/>
          <w:color w:val="000000"/>
          <w:kern w:val="0"/>
          <w:sz w:val="24"/>
          <w:szCs w:val="24"/>
          <w:lang w:val="en-US" w:eastAsia="zh-CN" w:bidi="ar"/>
        </w:rPr>
        <w:t>技术领域主要集中在</w:t>
      </w:r>
      <w:r>
        <w:rPr>
          <w:rFonts w:hint="eastAsia" w:ascii="仿宋" w:hAnsi="仿宋" w:cs="仿宋"/>
          <w:color w:val="000000"/>
          <w:kern w:val="0"/>
          <w:sz w:val="24"/>
          <w:szCs w:val="24"/>
          <w:lang w:val="en-US" w:eastAsia="zh-CN" w:bidi="ar"/>
        </w:rPr>
        <w:t>作为下部结构的基础</w:t>
      </w:r>
      <w:r>
        <w:rPr>
          <w:rFonts w:hint="eastAsia" w:ascii="仿宋" w:hAnsi="仿宋" w:eastAsia="仿宋" w:cs="仿宋"/>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分类号为</w:t>
      </w:r>
      <w:r>
        <w:rPr>
          <w:rFonts w:hint="eastAsia" w:eastAsia="宋体" w:cs="Times New Roman"/>
          <w:color w:val="000000"/>
          <w:kern w:val="0"/>
          <w:sz w:val="24"/>
          <w:szCs w:val="24"/>
          <w:lang w:val="en-US" w:eastAsia="zh-CN" w:bidi="ar"/>
        </w:rPr>
        <w:t>E02D27（</w:t>
      </w:r>
      <w:r>
        <w:rPr>
          <w:rFonts w:hint="eastAsia" w:ascii="仿宋" w:hAnsi="仿宋" w:eastAsia="仿宋" w:cs="仿宋"/>
          <w:color w:val="000000"/>
          <w:kern w:val="0"/>
          <w:sz w:val="24"/>
          <w:szCs w:val="24"/>
          <w:lang w:val="en-US" w:eastAsia="zh-CN" w:bidi="ar"/>
        </w:rPr>
        <w:t>作为下部结构的基础</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专利申请量共计</w:t>
      </w:r>
      <w:r>
        <w:rPr>
          <w:rFonts w:hint="default" w:ascii="Times New Roman" w:hAnsi="Times New Roman" w:cs="Times New Roman"/>
          <w:color w:val="000000"/>
          <w:kern w:val="0"/>
          <w:sz w:val="24"/>
          <w:szCs w:val="24"/>
          <w:lang w:val="en-US" w:eastAsia="zh-CN" w:bidi="ar"/>
        </w:rPr>
        <w:t>2120件</w:t>
      </w:r>
      <w:r>
        <w:rPr>
          <w:rFonts w:hint="eastAsia" w:ascii="仿宋" w:hAnsi="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在</w:t>
      </w:r>
      <w:r>
        <w:rPr>
          <w:rFonts w:hint="default"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分类号的</w:t>
      </w:r>
      <w:r>
        <w:rPr>
          <w:rFonts w:hint="default" w:ascii="Times New Roman" w:hAnsi="Times New Roman" w:eastAsia="宋体" w:cs="Times New Roman"/>
          <w:color w:val="000000"/>
          <w:kern w:val="0"/>
          <w:sz w:val="24"/>
          <w:szCs w:val="24"/>
          <w:lang w:val="en-US" w:eastAsia="zh-CN" w:bidi="ar"/>
        </w:rPr>
        <w:t>TOP</w:t>
      </w:r>
      <w:r>
        <w:rPr>
          <w:rFonts w:hint="eastAsia" w:eastAsia="宋体" w:cs="Times New Roman"/>
          <w:color w:val="000000"/>
          <w:kern w:val="0"/>
          <w:sz w:val="24"/>
          <w:szCs w:val="24"/>
          <w:lang w:val="en-US" w:eastAsia="zh-CN" w:bidi="ar"/>
        </w:rPr>
        <w:t>10</w:t>
      </w:r>
      <w:r>
        <w:rPr>
          <w:rFonts w:hint="eastAsia" w:ascii="仿宋" w:hAnsi="仿宋" w:eastAsia="仿宋" w:cs="仿宋"/>
          <w:color w:val="000000"/>
          <w:kern w:val="0"/>
          <w:sz w:val="24"/>
          <w:szCs w:val="24"/>
          <w:lang w:val="en-US" w:eastAsia="zh-CN" w:bidi="ar"/>
        </w:rPr>
        <w:t>的比重为</w:t>
      </w:r>
      <w:r>
        <w:rPr>
          <w:rFonts w:hint="eastAsia" w:eastAsia="宋体" w:cs="Times New Roman"/>
          <w:color w:val="000000"/>
          <w:kern w:val="0"/>
          <w:sz w:val="24"/>
          <w:szCs w:val="24"/>
          <w:lang w:val="en-US" w:eastAsia="zh-CN" w:bidi="ar"/>
        </w:rPr>
        <w:t>20.06</w:t>
      </w:r>
      <w:r>
        <w:rPr>
          <w:rFonts w:hint="default" w:ascii="Times New Roman" w:hAnsi="Times New Roman" w:eastAsia="宋体" w:cs="Times New Roman"/>
          <w:color w:val="000000"/>
          <w:kern w:val="0"/>
          <w:sz w:val="24"/>
          <w:szCs w:val="24"/>
          <w:lang w:val="en-US" w:eastAsia="zh-CN" w:bidi="ar"/>
        </w:rPr>
        <w:t>%</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凸显了其在这一技术领域的重要地位。此外，</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领域中，</w:t>
      </w:r>
      <w:r>
        <w:rPr>
          <w:rFonts w:hint="eastAsia" w:eastAsia="宋体" w:cs="Times New Roman"/>
          <w:color w:val="000000"/>
          <w:kern w:val="0"/>
          <w:sz w:val="24"/>
          <w:szCs w:val="24"/>
          <w:lang w:val="en-US" w:eastAsia="zh-CN" w:bidi="ar"/>
        </w:rPr>
        <w:t>F03D13（</w:t>
      </w:r>
      <w:r>
        <w:rPr>
          <w:rFonts w:hint="eastAsia" w:ascii="仿宋" w:hAnsi="仿宋" w:eastAsia="仿宋" w:cs="仿宋"/>
          <w:color w:val="000000"/>
          <w:kern w:val="0"/>
          <w:sz w:val="24"/>
          <w:szCs w:val="24"/>
          <w:lang w:val="en-US" w:eastAsia="zh-CN" w:bidi="ar"/>
        </w:rPr>
        <w:t>风力发动机的装配、安装或试运行，适用于运输风力发动机部件的配置</w:t>
      </w:r>
      <w:r>
        <w:rPr>
          <w:rFonts w:hint="eastAsia" w:eastAsia="宋体" w:cs="Times New Roman"/>
          <w:color w:val="000000"/>
          <w:kern w:val="0"/>
          <w:sz w:val="24"/>
          <w:szCs w:val="24"/>
          <w:lang w:val="en-US" w:eastAsia="zh-CN" w:bidi="ar"/>
        </w:rPr>
        <w:t>）、F03D9（</w:t>
      </w:r>
      <w:r>
        <w:rPr>
          <w:rFonts w:hint="eastAsia" w:ascii="仿宋" w:hAnsi="仿宋" w:eastAsia="仿宋" w:cs="仿宋"/>
          <w:color w:val="000000"/>
          <w:kern w:val="0"/>
          <w:sz w:val="24"/>
          <w:szCs w:val="24"/>
          <w:lang w:val="en-US" w:eastAsia="zh-CN" w:bidi="ar"/>
        </w:rPr>
        <w:t>特殊用途的风力发动机；风力发动机与受它驱动的装置的组合</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和</w:t>
      </w:r>
      <w:r>
        <w:rPr>
          <w:rFonts w:hint="eastAsia" w:eastAsia="宋体" w:cs="Times New Roman"/>
          <w:color w:val="000000"/>
          <w:kern w:val="0"/>
          <w:sz w:val="24"/>
          <w:szCs w:val="24"/>
          <w:lang w:val="en-US" w:eastAsia="zh-CN" w:bidi="ar"/>
        </w:rPr>
        <w:t>B63B35（</w:t>
      </w:r>
      <w:r>
        <w:rPr>
          <w:rFonts w:hint="eastAsia" w:ascii="仿宋" w:hAnsi="仿宋" w:eastAsia="仿宋" w:cs="仿宋"/>
          <w:color w:val="000000"/>
          <w:kern w:val="0"/>
          <w:sz w:val="24"/>
          <w:szCs w:val="24"/>
          <w:lang w:val="en-US" w:eastAsia="zh-CN" w:bidi="ar"/>
        </w:rPr>
        <w:t>适合于专门用途的船舶或类似的浮动结构</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也是本领域的关注重点技术，专利申请量分别为</w:t>
      </w:r>
      <w:r>
        <w:rPr>
          <w:rFonts w:hint="eastAsia" w:eastAsia="宋体" w:cs="Times New Roman"/>
          <w:color w:val="000000"/>
          <w:kern w:val="0"/>
          <w:sz w:val="24"/>
          <w:szCs w:val="24"/>
          <w:lang w:val="en-US" w:eastAsia="zh-CN" w:bidi="ar"/>
        </w:rPr>
        <w:t>2044</w:t>
      </w:r>
      <w:r>
        <w:rPr>
          <w:rFonts w:hint="eastAsia" w:ascii="仿宋" w:hAnsi="仿宋" w:eastAsia="仿宋" w:cs="仿宋"/>
          <w:color w:val="000000"/>
          <w:kern w:val="0"/>
          <w:sz w:val="24"/>
          <w:szCs w:val="24"/>
          <w:lang w:val="en-US" w:eastAsia="zh-CN" w:bidi="ar"/>
        </w:rPr>
        <w:t>件</w:t>
      </w:r>
      <w:r>
        <w:rPr>
          <w:rFonts w:hint="eastAsia" w:ascii="仿宋" w:hAnsi="仿宋" w:cs="仿宋"/>
          <w:color w:val="000000"/>
          <w:kern w:val="0"/>
          <w:sz w:val="24"/>
          <w:szCs w:val="24"/>
          <w:lang w:val="en-US" w:eastAsia="zh-CN" w:bidi="ar"/>
        </w:rPr>
        <w:t>、</w:t>
      </w:r>
      <w:r>
        <w:rPr>
          <w:rFonts w:hint="default" w:ascii="Times New Roman" w:hAnsi="Times New Roman" w:cs="Times New Roman"/>
          <w:color w:val="000000"/>
          <w:kern w:val="0"/>
          <w:sz w:val="24"/>
          <w:szCs w:val="24"/>
          <w:lang w:val="en-US" w:eastAsia="zh-CN" w:bidi="ar"/>
        </w:rPr>
        <w:t>1488</w:t>
      </w:r>
      <w:r>
        <w:rPr>
          <w:rFonts w:hint="default" w:ascii="Times New Roman" w:hAnsi="Times New Roman" w:eastAsia="仿宋" w:cs="Times New Roman"/>
          <w:color w:val="000000"/>
          <w:kern w:val="0"/>
          <w:sz w:val="24"/>
          <w:szCs w:val="24"/>
          <w:lang w:val="en-US" w:eastAsia="zh-CN" w:bidi="ar"/>
        </w:rPr>
        <w:t>件</w:t>
      </w:r>
      <w:r>
        <w:rPr>
          <w:rFonts w:hint="default" w:ascii="Times New Roman" w:hAnsi="Times New Roman" w:cs="Times New Roman"/>
          <w:color w:val="000000"/>
          <w:kern w:val="0"/>
          <w:sz w:val="24"/>
          <w:szCs w:val="24"/>
          <w:lang w:val="en-US" w:eastAsia="zh-CN" w:bidi="ar"/>
        </w:rPr>
        <w:t>和1198件</w:t>
      </w:r>
      <w:r>
        <w:rPr>
          <w:rFonts w:hint="eastAsia" w:ascii="仿宋" w:hAnsi="仿宋" w:eastAsia="仿宋" w:cs="仿宋"/>
          <w:color w:val="000000"/>
          <w:kern w:val="0"/>
          <w:sz w:val="24"/>
          <w:szCs w:val="24"/>
          <w:lang w:val="en-US" w:eastAsia="zh-CN" w:bidi="ar"/>
        </w:rPr>
        <w:t>，其专利申请量位列</w:t>
      </w:r>
      <w:r>
        <w:rPr>
          <w:rFonts w:hint="eastAsia" w:ascii="Times New Roman" w:hAnsi="Times New Roman" w:eastAsia="宋体" w:cs="Times New Roman"/>
          <w:color w:val="000000"/>
          <w:kern w:val="0"/>
          <w:sz w:val="24"/>
          <w:szCs w:val="24"/>
          <w:lang w:val="en-US" w:eastAsia="zh-CN" w:bidi="ar"/>
        </w:rPr>
        <w:t>IPC</w:t>
      </w:r>
      <w:r>
        <w:rPr>
          <w:rFonts w:hint="eastAsia" w:ascii="仿宋" w:hAnsi="仿宋" w:eastAsia="仿宋" w:cs="仿宋"/>
          <w:color w:val="000000"/>
          <w:kern w:val="0"/>
          <w:sz w:val="24"/>
          <w:szCs w:val="24"/>
          <w:lang w:val="en-US" w:eastAsia="zh-CN" w:bidi="ar"/>
        </w:rPr>
        <w:t>分类号排名的第二</w:t>
      </w:r>
      <w:r>
        <w:rPr>
          <w:rFonts w:hint="eastAsia" w:ascii="仿宋" w:hAnsi="仿宋" w:cs="仿宋"/>
          <w:color w:val="000000"/>
          <w:kern w:val="0"/>
          <w:sz w:val="24"/>
          <w:szCs w:val="24"/>
          <w:lang w:val="en-US" w:eastAsia="zh-CN" w:bidi="ar"/>
        </w:rPr>
        <w:t>至</w:t>
      </w:r>
      <w:r>
        <w:rPr>
          <w:rFonts w:hint="eastAsia" w:ascii="仿宋" w:hAnsi="仿宋" w:eastAsia="仿宋" w:cs="仿宋"/>
          <w:color w:val="000000"/>
          <w:kern w:val="0"/>
          <w:sz w:val="24"/>
          <w:szCs w:val="24"/>
          <w:lang w:val="en-US" w:eastAsia="zh-CN" w:bidi="ar"/>
        </w:rPr>
        <w:t>第</w:t>
      </w:r>
      <w:r>
        <w:rPr>
          <w:rFonts w:hint="eastAsia" w:ascii="仿宋" w:hAnsi="仿宋" w:cs="仿宋"/>
          <w:color w:val="000000"/>
          <w:kern w:val="0"/>
          <w:sz w:val="24"/>
          <w:szCs w:val="24"/>
          <w:lang w:val="en-US" w:eastAsia="zh-CN" w:bidi="ar"/>
        </w:rPr>
        <w:t>四</w:t>
      </w:r>
      <w:r>
        <w:rPr>
          <w:rFonts w:hint="eastAsia" w:ascii="仿宋" w:hAnsi="仿宋" w:eastAsia="仿宋" w:cs="仿宋"/>
          <w:color w:val="000000"/>
          <w:kern w:val="0"/>
          <w:sz w:val="24"/>
          <w:szCs w:val="24"/>
          <w:lang w:val="en-US" w:eastAsia="zh-CN" w:bidi="ar"/>
        </w:rPr>
        <w:t>名</w:t>
      </w:r>
      <w:r>
        <w:rPr>
          <w:rFonts w:hint="eastAsia" w:ascii="仿宋" w:hAnsi="仿宋" w:cs="仿宋"/>
          <w:color w:val="000000"/>
          <w:kern w:val="0"/>
          <w:sz w:val="24"/>
          <w:szCs w:val="24"/>
          <w:lang w:val="en-US" w:eastAsia="zh-CN" w:bidi="ar"/>
        </w:rPr>
        <w:t>，显示了海洋风能发电装备制造领域内对这些技术的强烈兴趣与研发投入</w:t>
      </w:r>
      <w:r>
        <w:rPr>
          <w:rFonts w:hint="eastAsia" w:ascii="仿宋" w:hAnsi="仿宋" w:eastAsia="仿宋" w:cs="仿宋"/>
          <w:color w:val="000000"/>
          <w:kern w:val="0"/>
          <w:sz w:val="24"/>
          <w:szCs w:val="24"/>
          <w:lang w:val="en-US" w:eastAsia="zh-CN" w:bidi="ar"/>
        </w:rPr>
        <w:t>。相比之下，其余技术领域的专利申请量均未突破</w:t>
      </w:r>
      <w:r>
        <w:rPr>
          <w:rFonts w:hint="default" w:ascii="Times New Roman" w:hAnsi="Times New Roman" w:eastAsia="仿宋" w:cs="Times New Roman"/>
          <w:color w:val="000000"/>
          <w:kern w:val="0"/>
          <w:sz w:val="24"/>
          <w:szCs w:val="24"/>
          <w:lang w:val="en-US" w:eastAsia="zh-CN" w:bidi="ar"/>
        </w:rPr>
        <w:t>1000项大关</w:t>
      </w:r>
      <w:r>
        <w:rPr>
          <w:rFonts w:hint="eastAsia" w:ascii="仿宋" w:hAnsi="仿宋" w:eastAsia="仿宋" w:cs="仿宋"/>
          <w:color w:val="000000"/>
          <w:kern w:val="0"/>
          <w:sz w:val="24"/>
          <w:szCs w:val="24"/>
          <w:lang w:val="en-US" w:eastAsia="zh-CN" w:bidi="ar"/>
        </w:rPr>
        <w:t>。</w:t>
      </w:r>
    </w:p>
    <w:p w14:paraId="52DAEA11">
      <w:pPr>
        <w:pStyle w:val="4"/>
        <w:keepNext/>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lang w:val="en-US" w:eastAsia="zh-CN"/>
        </w:rPr>
      </w:pPr>
      <w:bookmarkStart w:id="3" w:name="_Ref14481"/>
      <w:r>
        <w:t xml:space="preserve">表 </w:t>
      </w:r>
      <w:r>
        <w:fldChar w:fldCharType="begin"/>
      </w:r>
      <w:r>
        <w:instrText xml:space="preserve"> SEQ 表 \* ARABIC </w:instrText>
      </w:r>
      <w:r>
        <w:fldChar w:fldCharType="separate"/>
      </w:r>
      <w:r>
        <w:t>2</w:t>
      </w:r>
      <w:r>
        <w:fldChar w:fldCharType="end"/>
      </w:r>
      <w:r>
        <w:rPr>
          <w:rFonts w:hint="eastAsia"/>
          <w:lang w:val="en-US" w:eastAsia="zh-CN"/>
        </w:rPr>
        <w:t xml:space="preserve"> </w:t>
      </w:r>
      <w:r>
        <w:rPr>
          <w:rFonts w:hint="eastAsia"/>
          <w:lang w:eastAsia="zh-CN"/>
        </w:rPr>
        <w:t>IPC分类号含义及其涉及该分类号的中国专利申请量（单位：件）</w:t>
      </w:r>
      <w:bookmarkEnd w:id="3"/>
    </w:p>
    <w:p w14:paraId="5C33D0B9">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drawing>
          <wp:inline distT="0" distB="0" distL="114300" distR="114300">
            <wp:extent cx="5219700" cy="3783330"/>
            <wp:effectExtent l="0" t="0" r="0" b="7620"/>
            <wp:docPr id="2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3"/>
                    <pic:cNvPicPr>
                      <a:picLocks noChangeAspect="1"/>
                    </pic:cNvPicPr>
                  </pic:nvPicPr>
                  <pic:blipFill>
                    <a:blip r:embed="rId19"/>
                    <a:stretch>
                      <a:fillRect/>
                    </a:stretch>
                  </pic:blipFill>
                  <pic:spPr>
                    <a:xfrm>
                      <a:off x="0" y="0"/>
                      <a:ext cx="5219700" cy="3783330"/>
                    </a:xfrm>
                    <a:prstGeom prst="rect">
                      <a:avLst/>
                    </a:prstGeom>
                    <a:noFill/>
                    <a:ln>
                      <a:noFill/>
                    </a:ln>
                  </pic:spPr>
                </pic:pic>
              </a:graphicData>
            </a:graphic>
          </wp:inline>
        </w:drawing>
      </w:r>
    </w:p>
    <w:p w14:paraId="0D138C5D">
      <w:pPr>
        <w:pStyle w:val="2"/>
        <w:spacing w:before="156" w:after="312"/>
        <w:rPr>
          <w:rFonts w:hint="eastAsia" w:eastAsia="仿宋"/>
          <w:lang w:val="en-US" w:eastAsia="zh-CN"/>
        </w:rPr>
      </w:pPr>
      <w:r>
        <w:rPr>
          <w:rFonts w:hint="eastAsia"/>
        </w:rPr>
        <w:t>专利申请人分析</w:t>
      </w:r>
    </w:p>
    <w:p w14:paraId="533DACA2">
      <w:pPr>
        <w:keepNext w:val="0"/>
        <w:keepLines w:val="0"/>
        <w:widowControl/>
        <w:suppressLineNumbers w:val="0"/>
        <w:wordWrap w:val="0"/>
        <w:jc w:val="left"/>
        <w:rPr>
          <w:rFonts w:hint="default"/>
          <w:lang w:val="en-US" w:eastAsia="zh-CN"/>
        </w:rPr>
      </w:pPr>
      <w:r>
        <w:rPr>
          <w:rFonts w:ascii="仿宋" w:hAnsi="仿宋" w:eastAsia="仿宋" w:cs="仿宋"/>
          <w:color w:val="000000"/>
          <w:kern w:val="0"/>
          <w:sz w:val="24"/>
          <w:szCs w:val="24"/>
          <w:lang w:val="en-US" w:eastAsia="zh-CN" w:bidi="ar"/>
        </w:rPr>
        <w:t>由</w:t>
      </w:r>
      <w:r>
        <w:rPr>
          <w:rFonts w:ascii="仿宋" w:hAnsi="仿宋" w:eastAsia="仿宋" w:cs="仿宋"/>
          <w:color w:val="000000"/>
          <w:kern w:val="0"/>
          <w:sz w:val="24"/>
          <w:szCs w:val="24"/>
          <w:lang w:val="en-US" w:eastAsia="zh-CN" w:bidi="ar"/>
        </w:rPr>
        <w:fldChar w:fldCharType="begin"/>
      </w:r>
      <w:r>
        <w:rPr>
          <w:rFonts w:ascii="仿宋" w:hAnsi="仿宋" w:eastAsia="仿宋" w:cs="仿宋"/>
          <w:color w:val="000000"/>
          <w:kern w:val="0"/>
          <w:sz w:val="24"/>
          <w:szCs w:val="24"/>
          <w:lang w:val="en-US" w:eastAsia="zh-CN" w:bidi="ar"/>
        </w:rPr>
        <w:instrText xml:space="preserve"> REF _Ref16384 \h </w:instrText>
      </w:r>
      <w:r>
        <w:rPr>
          <w:rFonts w:ascii="仿宋" w:hAnsi="仿宋" w:eastAsia="仿宋" w:cs="仿宋"/>
          <w:color w:val="000000"/>
          <w:kern w:val="0"/>
          <w:sz w:val="24"/>
          <w:szCs w:val="24"/>
          <w:lang w:val="en-US" w:eastAsia="zh-CN" w:bidi="ar"/>
        </w:rPr>
        <w:fldChar w:fldCharType="separate"/>
      </w:r>
      <w:r>
        <w:t>图 4</w:t>
      </w:r>
      <w:r>
        <w:rPr>
          <w:rFonts w:hint="eastAsia"/>
          <w:lang w:val="en-US" w:eastAsia="zh-CN"/>
        </w:rPr>
        <w:t xml:space="preserve"> </w:t>
      </w:r>
      <w:r>
        <w:rPr>
          <w:rFonts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可知，中国</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行业优势主体以企事业单位与大专院校为主，</w:t>
      </w:r>
      <w:r>
        <w:rPr>
          <w:rFonts w:hint="eastAsia" w:ascii="仿宋" w:hAnsi="仿宋" w:cs="仿宋"/>
          <w:color w:val="000000"/>
          <w:kern w:val="0"/>
          <w:sz w:val="24"/>
          <w:szCs w:val="24"/>
          <w:lang w:val="en-US" w:eastAsia="zh-CN" w:bidi="ar"/>
        </w:rPr>
        <w:t>企事业单位以显著的专利申请数量优势（</w:t>
      </w:r>
      <w:r>
        <w:rPr>
          <w:rFonts w:hint="eastAsia" w:eastAsia="宋体" w:cs="Times New Roman"/>
          <w:color w:val="000000"/>
          <w:kern w:val="0"/>
          <w:sz w:val="24"/>
          <w:szCs w:val="24"/>
          <w:highlight w:val="none"/>
          <w:lang w:val="en-US" w:eastAsia="zh-CN" w:bidi="ar"/>
        </w:rPr>
        <w:t>8763</w:t>
      </w:r>
      <w:r>
        <w:rPr>
          <w:rFonts w:hint="eastAsia" w:ascii="仿宋" w:hAnsi="仿宋" w:cs="仿宋"/>
          <w:color w:val="000000"/>
          <w:kern w:val="0"/>
          <w:sz w:val="24"/>
          <w:szCs w:val="24"/>
          <w:lang w:val="en-US" w:eastAsia="zh-CN" w:bidi="ar"/>
        </w:rPr>
        <w:t>件）位居首位，紧随其后的是大专院校，其专利申请数量达到</w:t>
      </w:r>
      <w:r>
        <w:rPr>
          <w:rFonts w:hint="default" w:ascii="Times New Roman" w:hAnsi="Times New Roman" w:cs="Times New Roman"/>
          <w:color w:val="000000"/>
          <w:kern w:val="0"/>
          <w:sz w:val="24"/>
          <w:szCs w:val="24"/>
          <w:lang w:val="en-US" w:eastAsia="zh-CN" w:bidi="ar"/>
        </w:rPr>
        <w:t>2735</w:t>
      </w:r>
      <w:r>
        <w:rPr>
          <w:rFonts w:hint="eastAsia" w:ascii="仿宋" w:hAnsi="仿宋" w:cs="仿宋"/>
          <w:color w:val="000000"/>
          <w:kern w:val="0"/>
          <w:sz w:val="24"/>
          <w:szCs w:val="24"/>
          <w:lang w:val="en-US" w:eastAsia="zh-CN" w:bidi="ar"/>
        </w:rPr>
        <w:t>件，位列第二。进一步分析发现，</w:t>
      </w:r>
      <w:r>
        <w:rPr>
          <w:rFonts w:hint="eastAsia" w:ascii="仿宋" w:hAnsi="仿宋" w:eastAsia="仿宋" w:cs="仿宋"/>
          <w:color w:val="000000"/>
          <w:kern w:val="0"/>
          <w:sz w:val="24"/>
          <w:szCs w:val="24"/>
          <w:lang w:val="en-US" w:eastAsia="zh-CN" w:bidi="ar"/>
        </w:rPr>
        <w:t>以</w:t>
      </w:r>
      <w:r>
        <w:rPr>
          <w:rFonts w:hint="eastAsia" w:ascii="仿宋" w:hAnsi="仿宋" w:cs="仿宋"/>
          <w:color w:val="000000"/>
          <w:kern w:val="0"/>
          <w:sz w:val="24"/>
          <w:szCs w:val="24"/>
          <w:lang w:val="en-US" w:eastAsia="zh-CN" w:bidi="ar"/>
        </w:rPr>
        <w:t>企事业单位</w:t>
      </w:r>
      <w:r>
        <w:rPr>
          <w:rFonts w:hint="eastAsia" w:ascii="仿宋" w:hAnsi="仿宋" w:eastAsia="仿宋" w:cs="仿宋"/>
          <w:color w:val="000000"/>
          <w:kern w:val="0"/>
          <w:sz w:val="24"/>
          <w:szCs w:val="24"/>
          <w:lang w:val="en-US" w:eastAsia="zh-CN" w:bidi="ar"/>
        </w:rPr>
        <w:t>和</w:t>
      </w:r>
      <w:r>
        <w:rPr>
          <w:rFonts w:hint="eastAsia" w:ascii="仿宋" w:hAnsi="仿宋" w:cs="仿宋"/>
          <w:color w:val="000000"/>
          <w:kern w:val="0"/>
          <w:sz w:val="24"/>
          <w:szCs w:val="24"/>
          <w:lang w:val="en-US" w:eastAsia="zh-CN" w:bidi="ar"/>
        </w:rPr>
        <w:t>大专院校</w:t>
      </w:r>
      <w:r>
        <w:rPr>
          <w:rFonts w:hint="eastAsia" w:ascii="仿宋" w:hAnsi="仿宋" w:eastAsia="仿宋" w:cs="仿宋"/>
          <w:color w:val="000000"/>
          <w:kern w:val="0"/>
          <w:sz w:val="24"/>
          <w:szCs w:val="24"/>
          <w:lang w:val="en-US" w:eastAsia="zh-CN" w:bidi="ar"/>
        </w:rPr>
        <w:t>为名义进行专利申请的比重</w:t>
      </w:r>
      <w:r>
        <w:rPr>
          <w:rFonts w:hint="eastAsia" w:ascii="仿宋" w:hAnsi="仿宋" w:cs="仿宋"/>
          <w:color w:val="000000"/>
          <w:kern w:val="0"/>
          <w:sz w:val="24"/>
          <w:szCs w:val="24"/>
          <w:lang w:val="en-US" w:eastAsia="zh-CN" w:bidi="ar"/>
        </w:rPr>
        <w:t>高达</w:t>
      </w:r>
      <w:r>
        <w:rPr>
          <w:rFonts w:hint="eastAsia" w:eastAsia="宋体" w:cs="Times New Roman"/>
          <w:color w:val="000000"/>
          <w:kern w:val="0"/>
          <w:sz w:val="24"/>
          <w:szCs w:val="24"/>
          <w:highlight w:val="none"/>
          <w:lang w:val="en-US" w:eastAsia="zh-CN" w:bidi="ar"/>
        </w:rPr>
        <w:t>95.22%，</w:t>
      </w:r>
      <w:r>
        <w:rPr>
          <w:rFonts w:hint="eastAsia" w:ascii="仿宋" w:hAnsi="仿宋" w:eastAsia="仿宋" w:cs="仿宋"/>
          <w:color w:val="000000"/>
          <w:kern w:val="0"/>
          <w:sz w:val="24"/>
          <w:szCs w:val="24"/>
          <w:highlight w:val="none"/>
          <w:lang w:val="en-US" w:eastAsia="zh-CN" w:bidi="ar"/>
        </w:rPr>
        <w:t>该比例表明了中国海洋风能发电装备制造行业的绝大部分研发资源高度集中于企业和高校之中，形成了较为集中的创新生态体系。具体来看，</w:t>
      </w:r>
      <w:r>
        <w:rPr>
          <w:rFonts w:hint="eastAsia" w:ascii="仿宋" w:hAnsi="仿宋" w:cs="仿宋"/>
          <w:color w:val="000000"/>
          <w:kern w:val="0"/>
          <w:sz w:val="24"/>
          <w:szCs w:val="24"/>
          <w:highlight w:val="none"/>
          <w:lang w:val="en-US" w:eastAsia="zh-CN" w:bidi="ar"/>
        </w:rPr>
        <w:t>作为</w:t>
      </w:r>
      <w:r>
        <w:rPr>
          <w:rFonts w:hint="eastAsia" w:ascii="仿宋" w:hAnsi="仿宋" w:eastAsia="仿宋" w:cs="仿宋"/>
          <w:color w:val="000000"/>
          <w:kern w:val="0"/>
          <w:sz w:val="24"/>
          <w:szCs w:val="24"/>
          <w:highlight w:val="none"/>
          <w:lang w:val="en-US" w:eastAsia="zh-CN" w:bidi="ar"/>
        </w:rPr>
        <w:t>中国勘察设计综合实力百强单位</w:t>
      </w:r>
      <w:r>
        <w:rPr>
          <w:rFonts w:hint="eastAsia" w:ascii="仿宋" w:hAnsi="仿宋" w:cs="仿宋"/>
          <w:color w:val="000000"/>
          <w:kern w:val="0"/>
          <w:sz w:val="24"/>
          <w:szCs w:val="24"/>
          <w:highlight w:val="none"/>
          <w:lang w:val="en-US" w:eastAsia="zh-CN" w:bidi="ar"/>
        </w:rPr>
        <w:t>的中国电建集团华东勘测设计研究院有限公司（简称“华东院”）凭借其</w:t>
      </w:r>
      <w:r>
        <w:rPr>
          <w:rFonts w:hint="default" w:ascii="Times New Roman" w:hAnsi="Times New Roman" w:cs="Times New Roman"/>
          <w:color w:val="000000"/>
          <w:kern w:val="0"/>
          <w:sz w:val="24"/>
          <w:szCs w:val="24"/>
          <w:highlight w:val="none"/>
          <w:lang w:val="en-US" w:eastAsia="zh-CN" w:bidi="ar"/>
        </w:rPr>
        <w:t>429件</w:t>
      </w:r>
      <w:r>
        <w:rPr>
          <w:rFonts w:hint="eastAsia" w:ascii="仿宋" w:hAnsi="仿宋" w:cs="仿宋"/>
          <w:color w:val="000000"/>
          <w:kern w:val="0"/>
          <w:sz w:val="24"/>
          <w:szCs w:val="24"/>
          <w:highlight w:val="none"/>
          <w:lang w:val="en-US" w:eastAsia="zh-CN" w:bidi="ar"/>
        </w:rPr>
        <w:t>的专利申请量，在行业内遥遥领先，位居榜首。隶属于中国最大的发电集团的中国华能集团清洁能源技术研究院有限公司（简称“清能院”）和天津大学分别以</w:t>
      </w:r>
      <w:r>
        <w:rPr>
          <w:rFonts w:hint="default" w:ascii="Times New Roman" w:hAnsi="Times New Roman" w:cs="Times New Roman"/>
          <w:color w:val="000000"/>
          <w:kern w:val="0"/>
          <w:sz w:val="24"/>
          <w:szCs w:val="24"/>
          <w:highlight w:val="none"/>
          <w:lang w:val="en-US" w:eastAsia="zh-CN" w:bidi="ar"/>
        </w:rPr>
        <w:t>375件和279件</w:t>
      </w:r>
      <w:r>
        <w:rPr>
          <w:rFonts w:hint="eastAsia" w:ascii="仿宋" w:hAnsi="仿宋" w:cs="仿宋"/>
          <w:color w:val="000000"/>
          <w:kern w:val="0"/>
          <w:sz w:val="24"/>
          <w:szCs w:val="24"/>
          <w:highlight w:val="none"/>
          <w:lang w:val="en-US" w:eastAsia="zh-CN" w:bidi="ar"/>
        </w:rPr>
        <w:t>的专利申请数量紧随其后，占据第二和第三的位置。</w:t>
      </w:r>
      <w:r>
        <w:rPr>
          <w:rFonts w:hint="eastAsia" w:ascii="仿宋" w:hAnsi="仿宋" w:cs="仿宋"/>
          <w:color w:val="000000"/>
          <w:kern w:val="0"/>
          <w:sz w:val="24"/>
          <w:szCs w:val="24"/>
          <w:lang w:val="en-US" w:eastAsia="zh-CN" w:bidi="ar"/>
        </w:rPr>
        <w:t>值得注意的是，在榜单前</w:t>
      </w:r>
      <w:r>
        <w:rPr>
          <w:rFonts w:hint="default" w:ascii="Times New Roman" w:hAnsi="Times New Roman" w:cs="Times New Roman"/>
          <w:color w:val="000000"/>
          <w:kern w:val="0"/>
          <w:sz w:val="24"/>
          <w:szCs w:val="24"/>
          <w:lang w:val="en-US" w:eastAsia="zh-CN" w:bidi="ar"/>
        </w:rPr>
        <w:t>10名中</w:t>
      </w:r>
      <w:r>
        <w:rPr>
          <w:rFonts w:hint="eastAsia" w:ascii="仿宋" w:hAnsi="仿宋" w:cs="仿宋"/>
          <w:color w:val="000000"/>
          <w:kern w:val="0"/>
          <w:sz w:val="24"/>
          <w:szCs w:val="24"/>
          <w:lang w:val="en-US" w:eastAsia="zh-CN" w:bidi="ar"/>
        </w:rPr>
        <w:t>无一例外全是国企、央企或者高校，说明了企业和高校在中国海洋风能发电装备制造行业创新体系中的核心地位，同时也反映了该领域对于高端研发资源的强烈需求与高度依赖。</w:t>
      </w:r>
    </w:p>
    <w:p w14:paraId="31D64A28">
      <w:pPr>
        <w:ind w:left="0" w:leftChars="0" w:firstLine="0" w:firstLineChars="0"/>
        <w:jc w:val="both"/>
      </w:pPr>
      <w:r>
        <w:drawing>
          <wp:inline distT="0" distB="0" distL="114300" distR="114300">
            <wp:extent cx="1713230" cy="3275965"/>
            <wp:effectExtent l="4445" t="4445" r="15875" b="15240"/>
            <wp:docPr id="2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drawing>
          <wp:inline distT="0" distB="0" distL="114300" distR="114300">
            <wp:extent cx="3452495" cy="3275330"/>
            <wp:effectExtent l="4445" t="4445" r="10160" b="15875"/>
            <wp:docPr id="2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0E8BC9C">
      <w:pPr>
        <w:pStyle w:val="4"/>
        <w:ind w:left="0" w:leftChars="0" w:firstLine="0" w:firstLineChars="0"/>
        <w:jc w:val="center"/>
        <w:rPr>
          <w:rFonts w:hint="eastAsia"/>
          <w:lang w:eastAsia="zh-CN"/>
        </w:rPr>
      </w:pPr>
      <w:bookmarkStart w:id="4" w:name="_Ref16384"/>
      <w:r>
        <w:t xml:space="preserve">图 </w:t>
      </w:r>
      <w:r>
        <w:fldChar w:fldCharType="begin"/>
      </w:r>
      <w:r>
        <w:instrText xml:space="preserve"> SEQ 图 \* ARABIC </w:instrText>
      </w:r>
      <w:r>
        <w:fldChar w:fldCharType="separate"/>
      </w:r>
      <w:r>
        <w:t>4</w:t>
      </w:r>
      <w:r>
        <w:fldChar w:fldCharType="end"/>
      </w:r>
      <w:r>
        <w:rPr>
          <w:rFonts w:hint="eastAsia"/>
          <w:lang w:val="en-US" w:eastAsia="zh-CN"/>
        </w:rPr>
        <w:t xml:space="preserve"> </w:t>
      </w:r>
      <w:r>
        <w:rPr>
          <w:rFonts w:hint="eastAsia" w:ascii="黑体" w:hAnsi="宋体" w:cs="黑体"/>
          <w:color w:val="000000"/>
          <w:kern w:val="0"/>
          <w:sz w:val="18"/>
          <w:szCs w:val="18"/>
          <w:lang w:val="en-US" w:eastAsia="zh-CN" w:bidi="ar"/>
        </w:rPr>
        <w:t>海洋风能发电装备制造</w:t>
      </w:r>
      <w:r>
        <w:rPr>
          <w:rFonts w:ascii="黑体" w:hAnsi="宋体" w:eastAsia="黑体" w:cs="黑体"/>
          <w:color w:val="000000"/>
          <w:kern w:val="0"/>
          <w:sz w:val="18"/>
          <w:szCs w:val="18"/>
          <w:lang w:val="en-US" w:eastAsia="zh-CN" w:bidi="ar"/>
        </w:rPr>
        <w:t>专利</w:t>
      </w:r>
      <w:r>
        <w:rPr>
          <w:rFonts w:hint="eastAsia" w:ascii="黑体" w:hAnsi="宋体" w:cs="黑体"/>
          <w:color w:val="000000"/>
          <w:kern w:val="0"/>
          <w:sz w:val="18"/>
          <w:szCs w:val="18"/>
          <w:lang w:val="en-US" w:eastAsia="zh-CN" w:bidi="ar"/>
        </w:rPr>
        <w:t>不同</w:t>
      </w:r>
      <w:r>
        <w:rPr>
          <w:rFonts w:ascii="黑体" w:hAnsi="宋体" w:eastAsia="黑体" w:cs="黑体"/>
          <w:color w:val="000000"/>
          <w:kern w:val="0"/>
          <w:sz w:val="18"/>
          <w:szCs w:val="18"/>
          <w:lang w:val="en-US" w:eastAsia="zh-CN" w:bidi="ar"/>
        </w:rPr>
        <w:t>申请人类型</w:t>
      </w:r>
      <w:r>
        <w:rPr>
          <w:rFonts w:hint="eastAsia" w:ascii="黑体" w:hAnsi="宋体" w:cs="黑体"/>
          <w:color w:val="000000"/>
          <w:kern w:val="0"/>
          <w:sz w:val="18"/>
          <w:szCs w:val="18"/>
          <w:lang w:val="en-US" w:eastAsia="zh-CN" w:bidi="ar"/>
        </w:rPr>
        <w:t>专利申请数量</w:t>
      </w:r>
      <w:r>
        <w:rPr>
          <w:rFonts w:ascii="黑体" w:hAnsi="宋体" w:eastAsia="黑体" w:cs="黑体"/>
          <w:color w:val="000000"/>
          <w:kern w:val="0"/>
          <w:sz w:val="18"/>
          <w:szCs w:val="18"/>
          <w:lang w:val="en-US" w:eastAsia="zh-CN" w:bidi="ar"/>
        </w:rPr>
        <w:t>及专利申请人排名情况（单位：</w:t>
      </w:r>
      <w:r>
        <w:rPr>
          <w:rFonts w:hint="eastAsia" w:ascii="黑体" w:hAnsi="宋体" w:eastAsia="黑体" w:cs="黑体"/>
          <w:color w:val="000000"/>
          <w:kern w:val="0"/>
          <w:sz w:val="18"/>
          <w:szCs w:val="18"/>
          <w:lang w:val="en-US" w:eastAsia="zh-CN" w:bidi="ar"/>
        </w:rPr>
        <w:t>件）</w:t>
      </w:r>
      <w:bookmarkEnd w:id="4"/>
    </w:p>
    <w:p w14:paraId="0543C9D1">
      <w:pPr>
        <w:keepNext w:val="0"/>
        <w:keepLines w:val="0"/>
        <w:widowControl/>
        <w:suppressLineNumbers w:val="0"/>
        <w:jc w:val="left"/>
        <w:rPr>
          <w:rFonts w:hint="eastAsia" w:eastAsia="黑体"/>
          <w:lang w:val="en-US" w:eastAsia="zh-CN"/>
        </w:rPr>
      </w:pPr>
      <w:r>
        <w:rPr>
          <w:rFonts w:hint="eastAsia" w:ascii="仿宋" w:hAnsi="仿宋" w:eastAsia="仿宋" w:cs="仿宋"/>
          <w:color w:val="000000"/>
          <w:kern w:val="0"/>
          <w:sz w:val="24"/>
          <w:szCs w:val="24"/>
          <w:lang w:val="en-US" w:eastAsia="zh-CN" w:bidi="ar"/>
        </w:rPr>
        <w:fldChar w:fldCharType="begin"/>
      </w:r>
      <w:r>
        <w:rPr>
          <w:rFonts w:hint="eastAsia" w:ascii="仿宋" w:hAnsi="仿宋" w:eastAsia="仿宋" w:cs="仿宋"/>
          <w:color w:val="000000"/>
          <w:kern w:val="0"/>
          <w:sz w:val="24"/>
          <w:szCs w:val="24"/>
          <w:lang w:val="en-US" w:eastAsia="zh-CN" w:bidi="ar"/>
        </w:rPr>
        <w:instrText xml:space="preserve"> REF _Ref20280 \h </w:instrText>
      </w:r>
      <w:r>
        <w:rPr>
          <w:rFonts w:hint="eastAsia" w:ascii="仿宋" w:hAnsi="仿宋" w:eastAsia="仿宋" w:cs="仿宋"/>
          <w:color w:val="000000"/>
          <w:kern w:val="0"/>
          <w:sz w:val="24"/>
          <w:szCs w:val="24"/>
          <w:lang w:val="en-US" w:eastAsia="zh-CN" w:bidi="ar"/>
        </w:rPr>
        <w:fldChar w:fldCharType="separate"/>
      </w:r>
      <w:r>
        <w:rPr>
          <w:rFonts w:hint="eastAsia" w:ascii="仿宋" w:hAnsi="仿宋" w:eastAsia="仿宋" w:cs="仿宋"/>
          <w:color w:val="000000"/>
          <w:kern w:val="0"/>
          <w:sz w:val="24"/>
          <w:szCs w:val="24"/>
          <w:lang w:val="en-US" w:eastAsia="zh-CN" w:bidi="ar"/>
        </w:rPr>
        <w:t>图 5</w:t>
      </w:r>
      <w:r>
        <w:rPr>
          <w:rFonts w:hint="eastAsia" w:ascii="仿宋" w:hAnsi="仿宋" w:eastAsia="仿宋" w:cs="仿宋"/>
          <w:color w:val="000000"/>
          <w:kern w:val="0"/>
          <w:sz w:val="24"/>
          <w:szCs w:val="24"/>
          <w:lang w:val="en-US" w:eastAsia="zh-CN" w:bidi="ar"/>
        </w:rPr>
        <w:fldChar w:fldCharType="end"/>
      </w:r>
      <w:r>
        <w:rPr>
          <w:rFonts w:hint="eastAsia" w:ascii="仿宋" w:hAnsi="仿宋" w:eastAsia="仿宋" w:cs="仿宋"/>
          <w:color w:val="000000"/>
          <w:kern w:val="0"/>
          <w:sz w:val="24"/>
          <w:szCs w:val="24"/>
          <w:lang w:val="en-US" w:eastAsia="zh-CN" w:bidi="ar"/>
        </w:rPr>
        <w:t>展示了中国主要优势主体在不同技术分支的专利申请情况。由图可知，</w:t>
      </w:r>
      <w:r>
        <w:rPr>
          <w:rFonts w:hint="eastAsia" w:ascii="仿宋" w:hAnsi="仿宋" w:cs="仿宋"/>
          <w:color w:val="000000"/>
          <w:kern w:val="0"/>
          <w:sz w:val="24"/>
          <w:szCs w:val="24"/>
          <w:lang w:val="en-US" w:eastAsia="zh-CN" w:bidi="ar"/>
        </w:rPr>
        <w:t>主要申请人</w:t>
      </w:r>
      <w:r>
        <w:rPr>
          <w:rFonts w:hint="eastAsia" w:ascii="仿宋" w:hAnsi="仿宋" w:eastAsia="仿宋" w:cs="仿宋"/>
          <w:color w:val="000000"/>
          <w:kern w:val="0"/>
          <w:sz w:val="24"/>
          <w:szCs w:val="24"/>
          <w:lang w:val="en-US" w:eastAsia="zh-CN" w:bidi="ar"/>
        </w:rPr>
        <w:t>的技术研究</w:t>
      </w:r>
      <w:r>
        <w:rPr>
          <w:rFonts w:hint="eastAsia" w:ascii="仿宋" w:hAnsi="仿宋" w:cs="仿宋"/>
          <w:color w:val="000000"/>
          <w:kern w:val="0"/>
          <w:sz w:val="24"/>
          <w:szCs w:val="24"/>
          <w:lang w:val="en-US" w:eastAsia="zh-CN" w:bidi="ar"/>
        </w:rPr>
        <w:t>最为</w:t>
      </w:r>
      <w:r>
        <w:rPr>
          <w:rFonts w:hint="eastAsia" w:ascii="仿宋" w:hAnsi="仿宋" w:eastAsia="仿宋" w:cs="仿宋"/>
          <w:color w:val="000000"/>
          <w:kern w:val="0"/>
          <w:sz w:val="24"/>
          <w:szCs w:val="24"/>
          <w:lang w:val="en-US" w:eastAsia="zh-CN" w:bidi="ar"/>
        </w:rPr>
        <w:t>集中在</w:t>
      </w:r>
      <w:r>
        <w:rPr>
          <w:rFonts w:hint="eastAsia" w:ascii="Times New Roman" w:hAnsi="Times New Roman" w:eastAsia="宋体" w:cs="Times New Roman"/>
          <w:color w:val="000000"/>
          <w:kern w:val="0"/>
          <w:sz w:val="24"/>
          <w:szCs w:val="24"/>
          <w:lang w:val="en-US" w:eastAsia="zh-CN" w:bidi="ar"/>
        </w:rPr>
        <w:t>E02D27</w:t>
      </w:r>
      <w:r>
        <w:rPr>
          <w:rFonts w:hint="eastAsia" w:ascii="仿宋" w:hAnsi="仿宋" w:eastAsia="仿宋" w:cs="仿宋"/>
          <w:color w:val="000000"/>
          <w:kern w:val="0"/>
          <w:sz w:val="24"/>
          <w:szCs w:val="24"/>
          <w:lang w:val="en-US" w:eastAsia="zh-CN" w:bidi="ar"/>
        </w:rPr>
        <w:t>（作为下部结构的基础）这</w:t>
      </w:r>
      <w:r>
        <w:rPr>
          <w:rFonts w:hint="eastAsia" w:ascii="仿宋" w:hAnsi="仿宋" w:cs="仿宋"/>
          <w:color w:val="000000"/>
          <w:kern w:val="0"/>
          <w:sz w:val="24"/>
          <w:szCs w:val="24"/>
          <w:lang w:val="en-US" w:eastAsia="zh-CN" w:bidi="ar"/>
        </w:rPr>
        <w:t>一</w:t>
      </w:r>
      <w:r>
        <w:rPr>
          <w:rFonts w:hint="eastAsia" w:ascii="仿宋" w:hAnsi="仿宋" w:eastAsia="仿宋" w:cs="仿宋"/>
          <w:color w:val="000000"/>
          <w:kern w:val="0"/>
          <w:sz w:val="24"/>
          <w:szCs w:val="24"/>
          <w:lang w:val="en-US" w:eastAsia="zh-CN" w:bidi="ar"/>
        </w:rPr>
        <w:t>技术领域，该领域的专利申请量高达</w:t>
      </w:r>
      <w:r>
        <w:rPr>
          <w:rFonts w:hint="default" w:ascii="Times New Roman" w:hAnsi="Times New Roman" w:eastAsia="仿宋" w:cs="Times New Roman"/>
          <w:color w:val="000000"/>
          <w:kern w:val="0"/>
          <w:sz w:val="24"/>
          <w:szCs w:val="24"/>
          <w:lang w:val="en-US" w:eastAsia="zh-CN" w:bidi="ar"/>
        </w:rPr>
        <w:t>901</w:t>
      </w:r>
      <w:r>
        <w:rPr>
          <w:rFonts w:hint="eastAsia" w:ascii="仿宋" w:hAnsi="仿宋" w:eastAsia="仿宋" w:cs="仿宋"/>
          <w:color w:val="000000"/>
          <w:kern w:val="0"/>
          <w:sz w:val="24"/>
          <w:szCs w:val="24"/>
          <w:lang w:val="en-US" w:eastAsia="zh-CN" w:bidi="ar"/>
        </w:rPr>
        <w:t>件，其中</w:t>
      </w:r>
      <w:r>
        <w:rPr>
          <w:rFonts w:hint="eastAsia" w:ascii="仿宋" w:hAnsi="仿宋" w:cs="仿宋"/>
          <w:color w:val="000000"/>
          <w:kern w:val="0"/>
          <w:sz w:val="24"/>
          <w:szCs w:val="24"/>
          <w:lang w:val="en-US" w:eastAsia="zh-CN" w:bidi="ar"/>
        </w:rPr>
        <w:t>天津大学</w:t>
      </w:r>
      <w:r>
        <w:rPr>
          <w:rFonts w:hint="eastAsia" w:ascii="仿宋" w:hAnsi="仿宋" w:eastAsia="仿宋" w:cs="仿宋"/>
          <w:color w:val="000000"/>
          <w:kern w:val="0"/>
          <w:sz w:val="24"/>
          <w:szCs w:val="24"/>
          <w:lang w:val="en-US" w:eastAsia="zh-CN" w:bidi="ar"/>
        </w:rPr>
        <w:t>凭凭借其</w:t>
      </w:r>
      <w:r>
        <w:rPr>
          <w:rFonts w:hint="default" w:ascii="Times New Roman" w:hAnsi="Times New Roman" w:eastAsia="仿宋" w:cs="Times New Roman"/>
          <w:color w:val="000000"/>
          <w:kern w:val="0"/>
          <w:sz w:val="24"/>
          <w:szCs w:val="24"/>
          <w:lang w:val="en-US" w:eastAsia="zh-CN" w:bidi="ar"/>
        </w:rPr>
        <w:t>182</w:t>
      </w:r>
      <w:r>
        <w:rPr>
          <w:rFonts w:hint="eastAsia" w:ascii="仿宋" w:hAnsi="仿宋" w:eastAsia="仿宋" w:cs="仿宋"/>
          <w:color w:val="000000"/>
          <w:kern w:val="0"/>
          <w:sz w:val="24"/>
          <w:szCs w:val="24"/>
          <w:lang w:val="en-US" w:eastAsia="zh-CN" w:bidi="ar"/>
        </w:rPr>
        <w:t>件的专利申请量，在所有申请人中脱颖而出，位居榜首，这一成绩充分展示了天津大学在海洋风能发电装备制造行业下部结构基础技术研发方面的强大实力和创新能力。</w:t>
      </w:r>
      <w:r>
        <w:rPr>
          <w:rFonts w:hint="eastAsia" w:ascii="仿宋" w:hAnsi="仿宋" w:cs="仿宋"/>
          <w:color w:val="000000"/>
          <w:kern w:val="0"/>
          <w:sz w:val="24"/>
          <w:szCs w:val="24"/>
          <w:lang w:val="en-US" w:eastAsia="zh-CN" w:bidi="ar"/>
        </w:rPr>
        <w:t>紧随其后的是</w:t>
      </w:r>
      <w:r>
        <w:rPr>
          <w:rFonts w:hint="eastAsia" w:ascii="仿宋" w:hAnsi="仿宋" w:cs="仿宋"/>
          <w:color w:val="000000"/>
          <w:kern w:val="0"/>
          <w:sz w:val="24"/>
          <w:szCs w:val="24"/>
          <w:highlight w:val="none"/>
          <w:lang w:val="en-US" w:eastAsia="zh-CN" w:bidi="ar"/>
        </w:rPr>
        <w:t>作为</w:t>
      </w:r>
      <w:r>
        <w:rPr>
          <w:rFonts w:hint="eastAsia" w:ascii="仿宋" w:hAnsi="仿宋" w:eastAsia="仿宋" w:cs="仿宋"/>
          <w:color w:val="000000"/>
          <w:kern w:val="0"/>
          <w:sz w:val="24"/>
          <w:szCs w:val="24"/>
          <w:highlight w:val="none"/>
          <w:lang w:val="en-US" w:eastAsia="zh-CN" w:bidi="ar"/>
        </w:rPr>
        <w:t>中国勘察设计综合实力百强单位</w:t>
      </w:r>
      <w:r>
        <w:rPr>
          <w:rFonts w:hint="eastAsia" w:ascii="仿宋" w:hAnsi="仿宋" w:cs="仿宋"/>
          <w:color w:val="000000"/>
          <w:kern w:val="0"/>
          <w:sz w:val="24"/>
          <w:szCs w:val="24"/>
          <w:highlight w:val="none"/>
          <w:lang w:val="en-US" w:eastAsia="zh-CN" w:bidi="ar"/>
        </w:rPr>
        <w:t>的</w:t>
      </w:r>
      <w:r>
        <w:rPr>
          <w:rFonts w:hint="eastAsia" w:ascii="仿宋" w:hAnsi="仿宋" w:cs="仿宋"/>
          <w:color w:val="000000"/>
          <w:kern w:val="0"/>
          <w:sz w:val="24"/>
          <w:szCs w:val="24"/>
          <w:lang w:val="en-US" w:eastAsia="zh-CN" w:bidi="ar"/>
        </w:rPr>
        <w:t>中国电建集团华东勘测设计研究院有限公司</w:t>
      </w:r>
      <w:r>
        <w:rPr>
          <w:rFonts w:hint="eastAsia" w:ascii="仿宋" w:hAnsi="仿宋" w:cs="仿宋"/>
          <w:color w:val="000000"/>
          <w:kern w:val="0"/>
          <w:sz w:val="24"/>
          <w:szCs w:val="24"/>
          <w:highlight w:val="none"/>
          <w:lang w:val="en-US" w:eastAsia="zh-CN" w:bidi="ar"/>
        </w:rPr>
        <w:t>（简称“华东院”）</w:t>
      </w:r>
      <w:r>
        <w:rPr>
          <w:rFonts w:hint="eastAsia" w:ascii="仿宋" w:hAnsi="仿宋" w:cs="仿宋"/>
          <w:color w:val="000000"/>
          <w:kern w:val="0"/>
          <w:sz w:val="24"/>
          <w:szCs w:val="24"/>
          <w:lang w:val="en-US" w:eastAsia="zh-CN" w:bidi="ar"/>
        </w:rPr>
        <w:t>与</w:t>
      </w:r>
      <w:r>
        <w:rPr>
          <w:rFonts w:hint="eastAsia" w:ascii="仿宋" w:hAnsi="仿宋" w:cs="仿宋"/>
          <w:color w:val="000000"/>
          <w:kern w:val="0"/>
          <w:sz w:val="24"/>
          <w:szCs w:val="24"/>
          <w:highlight w:val="none"/>
          <w:lang w:val="en-US" w:eastAsia="zh-CN" w:bidi="ar"/>
        </w:rPr>
        <w:t>隶属于中国最大的发电集团的</w:t>
      </w:r>
      <w:r>
        <w:rPr>
          <w:rFonts w:hint="eastAsia" w:ascii="仿宋" w:hAnsi="仿宋" w:cs="仿宋"/>
          <w:color w:val="000000"/>
          <w:kern w:val="0"/>
          <w:sz w:val="24"/>
          <w:szCs w:val="24"/>
          <w:lang w:val="en-US" w:eastAsia="zh-CN" w:bidi="ar"/>
        </w:rPr>
        <w:t>中国华能集团清洁能源技术研究院有限公司</w:t>
      </w:r>
      <w:r>
        <w:rPr>
          <w:rFonts w:hint="eastAsia" w:ascii="仿宋" w:hAnsi="仿宋" w:cs="仿宋"/>
          <w:color w:val="000000"/>
          <w:kern w:val="0"/>
          <w:sz w:val="24"/>
          <w:szCs w:val="24"/>
          <w:highlight w:val="none"/>
          <w:lang w:val="en-US" w:eastAsia="zh-CN" w:bidi="ar"/>
        </w:rPr>
        <w:t>（简称“清能院”）</w:t>
      </w:r>
      <w:r>
        <w:rPr>
          <w:rFonts w:hint="eastAsia" w:ascii="仿宋" w:hAnsi="仿宋" w:cs="仿宋"/>
          <w:color w:val="000000"/>
          <w:kern w:val="0"/>
          <w:sz w:val="24"/>
          <w:szCs w:val="24"/>
          <w:lang w:val="en-US" w:eastAsia="zh-CN" w:bidi="ar"/>
        </w:rPr>
        <w:t>，两者的专利申请量分别为</w:t>
      </w:r>
      <w:r>
        <w:rPr>
          <w:rFonts w:hint="eastAsia" w:cs="Times New Roman"/>
          <w:color w:val="000000"/>
          <w:kern w:val="0"/>
          <w:sz w:val="24"/>
          <w:szCs w:val="24"/>
          <w:lang w:val="en-US" w:eastAsia="zh-CN" w:bidi="ar"/>
        </w:rPr>
        <w:t>176</w:t>
      </w:r>
      <w:r>
        <w:rPr>
          <w:rFonts w:hint="default" w:ascii="Times New Roman" w:hAnsi="Times New Roman" w:cs="Times New Roman"/>
          <w:color w:val="000000"/>
          <w:kern w:val="0"/>
          <w:sz w:val="24"/>
          <w:szCs w:val="24"/>
          <w:lang w:val="en-US" w:eastAsia="zh-CN" w:bidi="ar"/>
        </w:rPr>
        <w:t>件和</w:t>
      </w:r>
      <w:r>
        <w:rPr>
          <w:rFonts w:hint="eastAsia" w:cs="Times New Roman"/>
          <w:color w:val="000000"/>
          <w:kern w:val="0"/>
          <w:sz w:val="24"/>
          <w:szCs w:val="24"/>
          <w:lang w:val="en-US" w:eastAsia="zh-CN" w:bidi="ar"/>
        </w:rPr>
        <w:t>157</w:t>
      </w:r>
      <w:r>
        <w:rPr>
          <w:rFonts w:hint="default" w:ascii="Times New Roman" w:hAnsi="Times New Roman" w:cs="Times New Roman"/>
          <w:color w:val="000000"/>
          <w:kern w:val="0"/>
          <w:sz w:val="24"/>
          <w:szCs w:val="24"/>
          <w:lang w:val="en-US" w:eastAsia="zh-CN" w:bidi="ar"/>
        </w:rPr>
        <w:t>件</w:t>
      </w:r>
      <w:r>
        <w:rPr>
          <w:rFonts w:hint="eastAsia" w:ascii="仿宋" w:hAnsi="仿宋" w:eastAsia="仿宋" w:cs="仿宋"/>
          <w:color w:val="000000"/>
          <w:kern w:val="0"/>
          <w:sz w:val="24"/>
          <w:szCs w:val="24"/>
          <w:lang w:val="en-US" w:eastAsia="zh-CN" w:bidi="ar"/>
        </w:rPr>
        <w:t>。</w:t>
      </w:r>
      <w:r>
        <w:rPr>
          <w:rFonts w:hint="eastAsia" w:ascii="仿宋" w:hAnsi="仿宋" w:cs="仿宋"/>
          <w:color w:val="000000"/>
          <w:kern w:val="0"/>
          <w:sz w:val="24"/>
          <w:szCs w:val="24"/>
          <w:lang w:val="en-US" w:eastAsia="zh-CN" w:bidi="ar"/>
        </w:rPr>
        <w:t>此外</w:t>
      </w:r>
      <w:r>
        <w:rPr>
          <w:rFonts w:hint="eastAsia" w:ascii="仿宋" w:hAnsi="仿宋" w:eastAsia="仿宋" w:cs="仿宋"/>
          <w:color w:val="000000"/>
          <w:kern w:val="0"/>
          <w:sz w:val="24"/>
          <w:szCs w:val="24"/>
          <w:lang w:val="en-US" w:eastAsia="zh-CN" w:bidi="ar"/>
        </w:rPr>
        <w:t>，</w:t>
      </w:r>
      <w:r>
        <w:rPr>
          <w:rFonts w:hint="eastAsia" w:eastAsia="宋体" w:cs="Times New Roman"/>
          <w:color w:val="000000"/>
          <w:kern w:val="0"/>
          <w:sz w:val="24"/>
          <w:szCs w:val="24"/>
          <w:lang w:val="en-US" w:eastAsia="zh-CN" w:bidi="ar"/>
        </w:rPr>
        <w:t>F03D13</w:t>
      </w:r>
      <w:r>
        <w:rPr>
          <w:rFonts w:hint="eastAsia" w:ascii="仿宋" w:hAnsi="仿宋" w:eastAsia="仿宋" w:cs="仿宋"/>
          <w:color w:val="000000"/>
          <w:kern w:val="0"/>
          <w:sz w:val="24"/>
          <w:szCs w:val="24"/>
          <w:lang w:val="en-US" w:eastAsia="zh-CN" w:bidi="ar"/>
        </w:rPr>
        <w:t>（风力发动机的装配、安装或试运行，适用于运输风力发动机部件的配置）技术领域同样吸引了众多申请人的技术创新研究。该领域的专利申请总体占比达到了</w:t>
      </w:r>
      <w:r>
        <w:rPr>
          <w:rFonts w:hint="eastAsia" w:eastAsia="宋体" w:cs="Times New Roman"/>
          <w:color w:val="000000"/>
          <w:kern w:val="0"/>
          <w:sz w:val="24"/>
          <w:szCs w:val="24"/>
          <w:lang w:val="en-US" w:eastAsia="zh-CN" w:bidi="ar"/>
        </w:rPr>
        <w:t>17.13</w:t>
      </w:r>
      <w:r>
        <w:rPr>
          <w:rFonts w:hint="default" w:eastAsia="宋体" w:cs="Times New Roman"/>
          <w:color w:val="000000"/>
          <w:kern w:val="0"/>
          <w:sz w:val="24"/>
          <w:szCs w:val="24"/>
          <w:lang w:val="en-US" w:eastAsia="zh-CN" w:bidi="ar"/>
        </w:rPr>
        <w:t>%</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显示出其在行业内的广泛认可度和高关注度</w:t>
      </w:r>
      <w:r>
        <w:rPr>
          <w:rFonts w:hint="eastAsia" w:eastAsia="宋体" w:cs="Times New Roman"/>
          <w:color w:val="000000"/>
          <w:kern w:val="0"/>
          <w:sz w:val="24"/>
          <w:szCs w:val="24"/>
          <w:lang w:val="en-US" w:eastAsia="zh-CN" w:bidi="ar"/>
        </w:rPr>
        <w:t>。</w:t>
      </w:r>
    </w:p>
    <w:p w14:paraId="58610F3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pPr>
      <w:r>
        <w:drawing>
          <wp:inline distT="0" distB="0" distL="114300" distR="114300">
            <wp:extent cx="5219700" cy="4916805"/>
            <wp:effectExtent l="4445" t="4445" r="14605" b="12700"/>
            <wp:docPr id="2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1DD684BC">
      <w:pPr>
        <w:keepNext w:val="0"/>
        <w:keepLines w:val="0"/>
        <w:widowControl/>
        <w:suppressLineNumbers w:val="0"/>
        <w:jc w:val="center"/>
        <w:rPr>
          <w:rFonts w:hint="eastAsia" w:eastAsia="仿宋"/>
          <w:lang w:eastAsia="zh-CN"/>
        </w:rPr>
      </w:pPr>
      <w:bookmarkStart w:id="5" w:name="_Ref20280"/>
      <w:r>
        <w:rPr>
          <w:rFonts w:ascii="黑体" w:hAnsi="宋体" w:eastAsia="黑体" w:cs="黑体"/>
          <w:color w:val="000000"/>
          <w:kern w:val="0"/>
          <w:sz w:val="18"/>
          <w:szCs w:val="18"/>
          <w:lang w:val="en-US" w:eastAsia="zh-CN" w:bidi="ar"/>
        </w:rPr>
        <w:t xml:space="preserve">图 </w:t>
      </w:r>
      <w:r>
        <w:rPr>
          <w:rFonts w:ascii="黑体" w:hAnsi="宋体" w:eastAsia="黑体" w:cs="黑体"/>
          <w:color w:val="000000"/>
          <w:kern w:val="0"/>
          <w:sz w:val="18"/>
          <w:szCs w:val="18"/>
          <w:lang w:val="en-US" w:eastAsia="zh-CN" w:bidi="ar"/>
        </w:rPr>
        <w:fldChar w:fldCharType="begin"/>
      </w:r>
      <w:r>
        <w:rPr>
          <w:rFonts w:ascii="黑体" w:hAnsi="宋体" w:eastAsia="黑体" w:cs="黑体"/>
          <w:color w:val="000000"/>
          <w:kern w:val="0"/>
          <w:sz w:val="18"/>
          <w:szCs w:val="18"/>
          <w:lang w:val="en-US" w:eastAsia="zh-CN" w:bidi="ar"/>
        </w:rPr>
        <w:instrText xml:space="preserve"> SEQ 图 \* ARABIC </w:instrText>
      </w:r>
      <w:r>
        <w:rPr>
          <w:rFonts w:ascii="黑体" w:hAnsi="宋体" w:eastAsia="黑体" w:cs="黑体"/>
          <w:color w:val="000000"/>
          <w:kern w:val="0"/>
          <w:sz w:val="18"/>
          <w:szCs w:val="18"/>
          <w:lang w:val="en-US" w:eastAsia="zh-CN" w:bidi="ar"/>
        </w:rPr>
        <w:fldChar w:fldCharType="separate"/>
      </w:r>
      <w:r>
        <w:rPr>
          <w:rFonts w:ascii="黑体" w:hAnsi="宋体" w:eastAsia="黑体" w:cs="黑体"/>
          <w:color w:val="000000"/>
          <w:kern w:val="0"/>
          <w:sz w:val="18"/>
          <w:szCs w:val="18"/>
          <w:lang w:val="en-US" w:eastAsia="zh-CN" w:bidi="ar"/>
        </w:rPr>
        <w:t>5</w:t>
      </w:r>
      <w:r>
        <w:rPr>
          <w:rFonts w:ascii="黑体" w:hAnsi="宋体" w:eastAsia="黑体" w:cs="黑体"/>
          <w:color w:val="000000"/>
          <w:kern w:val="0"/>
          <w:sz w:val="18"/>
          <w:szCs w:val="18"/>
          <w:lang w:val="en-US" w:eastAsia="zh-CN" w:bidi="ar"/>
        </w:rPr>
        <w:fldChar w:fldCharType="end"/>
      </w:r>
      <w:bookmarkEnd w:id="5"/>
      <w:r>
        <w:rPr>
          <w:rFonts w:hint="eastAsia"/>
          <w:sz w:val="18"/>
          <w:szCs w:val="18"/>
          <w:lang w:eastAsia="zh-CN"/>
        </w:rPr>
        <w:t xml:space="preserve"> </w:t>
      </w:r>
      <w:r>
        <w:rPr>
          <w:rFonts w:hint="eastAsia" w:ascii="黑体" w:hAnsi="宋体" w:eastAsia="黑体" w:cs="黑体"/>
          <w:color w:val="000000"/>
          <w:kern w:val="0"/>
          <w:sz w:val="18"/>
          <w:szCs w:val="18"/>
          <w:lang w:val="en-US" w:eastAsia="zh-CN" w:bidi="ar"/>
        </w:rPr>
        <w:t>海洋风能发电装备制造</w:t>
      </w:r>
      <w:r>
        <w:rPr>
          <w:rFonts w:ascii="黑体" w:hAnsi="宋体" w:eastAsia="黑体" w:cs="黑体"/>
          <w:color w:val="000000"/>
          <w:kern w:val="0"/>
          <w:sz w:val="18"/>
          <w:szCs w:val="18"/>
          <w:lang w:val="en-US" w:eastAsia="zh-CN" w:bidi="ar"/>
        </w:rPr>
        <w:t>主要专利申请人的技术构成分析（单位：件）</w:t>
      </w:r>
    </w:p>
    <w:p w14:paraId="74E09722">
      <w:pPr>
        <w:pStyle w:val="2"/>
        <w:numPr>
          <w:ilvl w:val="0"/>
          <w:numId w:val="0"/>
        </w:numPr>
        <w:spacing w:before="156" w:after="312"/>
      </w:pPr>
      <w:r>
        <w:rPr>
          <w:rFonts w:hint="eastAsia"/>
        </w:rPr>
        <w:t>结语：</w:t>
      </w:r>
    </w:p>
    <w:p w14:paraId="3FFCC948">
      <w:pPr>
        <w:keepNext w:val="0"/>
        <w:keepLines w:val="0"/>
        <w:widowControl/>
        <w:suppressLineNumbers w:val="0"/>
        <w:jc w:val="left"/>
        <w:rPr>
          <w:rFonts w:hint="default"/>
          <w:lang w:val="en-US"/>
        </w:rPr>
      </w:pPr>
      <w:r>
        <w:rPr>
          <w:rFonts w:hint="eastAsia" w:ascii="仿宋" w:hAnsi="仿宋" w:eastAsia="仿宋" w:cs="仿宋"/>
          <w:color w:val="000000"/>
          <w:kern w:val="0"/>
          <w:sz w:val="24"/>
          <w:szCs w:val="24"/>
          <w:lang w:val="en-US" w:eastAsia="zh-CN" w:bidi="ar"/>
        </w:rPr>
        <w:t>通过对</w:t>
      </w:r>
      <w:r>
        <w:rPr>
          <w:rFonts w:hint="eastAsia" w:ascii="仿宋" w:hAnsi="仿宋" w:cs="仿宋"/>
          <w:color w:val="000000"/>
          <w:kern w:val="0"/>
          <w:sz w:val="24"/>
          <w:szCs w:val="24"/>
          <w:lang w:val="en-US" w:eastAsia="zh-CN" w:bidi="ar"/>
        </w:rPr>
        <w:t>近20年海洋风能发电装备制造技术的</w:t>
      </w:r>
      <w:r>
        <w:rPr>
          <w:rFonts w:hint="eastAsia" w:ascii="仿宋" w:hAnsi="仿宋" w:eastAsia="仿宋" w:cs="仿宋"/>
          <w:color w:val="000000"/>
          <w:kern w:val="0"/>
          <w:sz w:val="24"/>
          <w:szCs w:val="24"/>
          <w:lang w:val="en-US" w:eastAsia="zh-CN" w:bidi="ar"/>
        </w:rPr>
        <w:t>专利数据的梳理，我们发现中国海洋风能发电装备制造技术在</w:t>
      </w:r>
      <w:r>
        <w:rPr>
          <w:rFonts w:hint="default" w:ascii="Times New Roman" w:hAnsi="Times New Roman" w:eastAsia="仿宋" w:cs="Times New Roman"/>
          <w:color w:val="000000"/>
          <w:kern w:val="0"/>
          <w:sz w:val="24"/>
          <w:szCs w:val="24"/>
          <w:lang w:val="en-US" w:eastAsia="zh-CN" w:bidi="ar"/>
        </w:rPr>
        <w:t>2004</w:t>
      </w:r>
      <w:r>
        <w:rPr>
          <w:rFonts w:hint="eastAsia" w:ascii="仿宋" w:hAnsi="仿宋" w:eastAsia="仿宋" w:cs="仿宋"/>
          <w:color w:val="000000"/>
          <w:kern w:val="0"/>
          <w:sz w:val="24"/>
          <w:szCs w:val="24"/>
          <w:lang w:val="en-US" w:eastAsia="zh-CN" w:bidi="ar"/>
        </w:rPr>
        <w:t>年至</w:t>
      </w:r>
      <w:r>
        <w:rPr>
          <w:rFonts w:hint="default" w:ascii="Times New Roman" w:hAnsi="Times New Roman" w:eastAsia="仿宋" w:cs="Times New Roman"/>
          <w:color w:val="000000"/>
          <w:kern w:val="0"/>
          <w:sz w:val="24"/>
          <w:szCs w:val="24"/>
          <w:lang w:val="en-US" w:eastAsia="zh-CN" w:bidi="ar"/>
        </w:rPr>
        <w:t>2015</w:t>
      </w:r>
      <w:r>
        <w:rPr>
          <w:rFonts w:hint="eastAsia" w:ascii="仿宋" w:hAnsi="仿宋" w:eastAsia="仿宋" w:cs="仿宋"/>
          <w:color w:val="000000"/>
          <w:kern w:val="0"/>
          <w:sz w:val="24"/>
          <w:szCs w:val="24"/>
          <w:lang w:val="en-US" w:eastAsia="zh-CN" w:bidi="ar"/>
        </w:rPr>
        <w:t>年期间处于行业发展的初级阶段。尽管在此期间，技术的发展速度相对缓慢，但呈现出显著的涨幅</w:t>
      </w:r>
      <w:r>
        <w:rPr>
          <w:rFonts w:hint="eastAsia" w:ascii="仿宋" w:hAnsi="仿宋" w:cs="仿宋"/>
          <w:color w:val="000000"/>
          <w:kern w:val="0"/>
          <w:sz w:val="24"/>
          <w:szCs w:val="24"/>
          <w:lang w:val="en-US" w:eastAsia="zh-CN" w:bidi="ar"/>
        </w:rPr>
        <w:t>，专利申请量和专利授权量分别于</w:t>
      </w:r>
      <w:r>
        <w:rPr>
          <w:rFonts w:hint="eastAsia" w:eastAsia="宋体" w:cs="Times New Roman"/>
          <w:color w:val="000000"/>
          <w:kern w:val="0"/>
          <w:sz w:val="24"/>
          <w:szCs w:val="24"/>
          <w:lang w:val="en-US" w:eastAsia="zh-CN" w:bidi="ar"/>
        </w:rPr>
        <w:t>2022</w:t>
      </w:r>
      <w:r>
        <w:rPr>
          <w:rFonts w:hint="eastAsia" w:ascii="仿宋" w:hAnsi="仿宋" w:cs="仿宋"/>
          <w:color w:val="000000"/>
          <w:kern w:val="0"/>
          <w:sz w:val="24"/>
          <w:szCs w:val="24"/>
          <w:lang w:val="en-US" w:eastAsia="zh-CN" w:bidi="ar"/>
        </w:rPr>
        <w:t>年和</w:t>
      </w:r>
      <w:r>
        <w:rPr>
          <w:rFonts w:hint="default" w:ascii="Times New Roman" w:hAnsi="Times New Roman" w:cs="Times New Roman"/>
          <w:color w:val="000000"/>
          <w:kern w:val="0"/>
          <w:sz w:val="24"/>
          <w:szCs w:val="24"/>
          <w:lang w:val="en-US" w:eastAsia="zh-CN" w:bidi="ar"/>
        </w:rPr>
        <w:t>202</w:t>
      </w:r>
      <w:r>
        <w:rPr>
          <w:rFonts w:hint="eastAsia" w:cs="Times New Roman"/>
          <w:color w:val="000000"/>
          <w:kern w:val="0"/>
          <w:sz w:val="24"/>
          <w:szCs w:val="24"/>
          <w:lang w:val="en-US" w:eastAsia="zh-CN" w:bidi="ar"/>
        </w:rPr>
        <w:t>3</w:t>
      </w:r>
      <w:r>
        <w:rPr>
          <w:rFonts w:hint="default" w:ascii="Times New Roman" w:hAnsi="Times New Roman" w:cs="Times New Roman"/>
          <w:color w:val="000000"/>
          <w:kern w:val="0"/>
          <w:sz w:val="24"/>
          <w:szCs w:val="24"/>
          <w:lang w:val="en-US" w:eastAsia="zh-CN" w:bidi="ar"/>
        </w:rPr>
        <w:t>年</w:t>
      </w:r>
      <w:r>
        <w:rPr>
          <w:rFonts w:hint="eastAsia" w:ascii="仿宋" w:hAnsi="仿宋" w:cs="仿宋"/>
          <w:color w:val="000000"/>
          <w:kern w:val="0"/>
          <w:sz w:val="24"/>
          <w:szCs w:val="24"/>
          <w:lang w:val="en-US" w:eastAsia="zh-CN" w:bidi="ar"/>
        </w:rPr>
        <w:t>达到最大值</w:t>
      </w:r>
      <w:r>
        <w:rPr>
          <w:rFonts w:hint="eastAsia" w:ascii="仿宋" w:hAnsi="仿宋" w:eastAsia="仿宋" w:cs="仿宋"/>
          <w:color w:val="000000"/>
          <w:kern w:val="0"/>
          <w:sz w:val="24"/>
          <w:szCs w:val="24"/>
          <w:lang w:val="en-US" w:eastAsia="zh-CN" w:bidi="ar"/>
        </w:rPr>
        <w:t>。在地域分布</w:t>
      </w:r>
      <w:bookmarkStart w:id="6" w:name="_GoBack"/>
      <w:bookmarkEnd w:id="6"/>
      <w:r>
        <w:rPr>
          <w:rFonts w:hint="eastAsia" w:ascii="仿宋" w:hAnsi="仿宋" w:eastAsia="仿宋" w:cs="仿宋"/>
          <w:color w:val="000000"/>
          <w:kern w:val="0"/>
          <w:sz w:val="24"/>
          <w:szCs w:val="24"/>
          <w:lang w:val="en-US" w:eastAsia="zh-CN" w:bidi="ar"/>
        </w:rPr>
        <w:t>方面，江苏省、广东省和浙江省成为了国内海洋风能发电装备制造技术研发的领军地区。其中，广东省的专利活动尤为活跃，主要集中分布在广州市、中山市和深圳市。这些地区凭借优越的地理位置、丰富的</w:t>
      </w:r>
      <w:r>
        <w:rPr>
          <w:rFonts w:hint="eastAsia" w:ascii="仿宋" w:hAnsi="仿宋" w:cs="仿宋"/>
          <w:color w:val="000000"/>
          <w:kern w:val="0"/>
          <w:sz w:val="24"/>
          <w:szCs w:val="24"/>
          <w:lang w:val="en-US" w:eastAsia="zh-CN" w:bidi="ar"/>
        </w:rPr>
        <w:t>海上风能资源</w:t>
      </w:r>
      <w:r>
        <w:rPr>
          <w:rFonts w:hint="eastAsia" w:ascii="仿宋" w:hAnsi="仿宋" w:eastAsia="仿宋" w:cs="仿宋"/>
          <w:color w:val="000000"/>
          <w:kern w:val="0"/>
          <w:sz w:val="24"/>
          <w:szCs w:val="24"/>
          <w:lang w:val="en-US" w:eastAsia="zh-CN" w:bidi="ar"/>
        </w:rPr>
        <w:t>资源</w:t>
      </w:r>
      <w:r>
        <w:rPr>
          <w:rFonts w:hint="eastAsia" w:ascii="仿宋" w:hAnsi="仿宋" w:cs="仿宋"/>
          <w:color w:val="000000"/>
          <w:kern w:val="0"/>
          <w:sz w:val="24"/>
          <w:szCs w:val="24"/>
          <w:lang w:val="en-US" w:eastAsia="zh-CN" w:bidi="ar"/>
        </w:rPr>
        <w:t>、完善的港口设施</w:t>
      </w:r>
      <w:r>
        <w:rPr>
          <w:rFonts w:hint="eastAsia" w:ascii="仿宋" w:hAnsi="仿宋" w:eastAsia="仿宋" w:cs="仿宋"/>
          <w:color w:val="000000"/>
          <w:kern w:val="0"/>
          <w:sz w:val="24"/>
          <w:szCs w:val="24"/>
          <w:lang w:val="en-US" w:eastAsia="zh-CN" w:bidi="ar"/>
        </w:rPr>
        <w:t>和强大的研发实力，成为了中国海洋风能发电装备制造技术研发的重要基地。从技术构成来看，</w:t>
      </w:r>
      <w:r>
        <w:rPr>
          <w:rFonts w:hint="eastAsia" w:eastAsia="宋体" w:cs="Times New Roman"/>
          <w:color w:val="000000"/>
          <w:kern w:val="0"/>
          <w:sz w:val="24"/>
          <w:szCs w:val="24"/>
          <w:lang w:val="en-US" w:eastAsia="zh-CN" w:bidi="ar"/>
        </w:rPr>
        <w:t>E02D27（</w:t>
      </w:r>
      <w:r>
        <w:rPr>
          <w:rFonts w:hint="eastAsia" w:ascii="仿宋" w:hAnsi="仿宋" w:eastAsia="仿宋" w:cs="仿宋"/>
          <w:color w:val="000000"/>
          <w:kern w:val="0"/>
          <w:sz w:val="24"/>
          <w:szCs w:val="24"/>
          <w:lang w:val="en-US" w:eastAsia="zh-CN" w:bidi="ar"/>
        </w:rPr>
        <w:t>作为下部结构的基础</w:t>
      </w:r>
      <w:r>
        <w:rPr>
          <w:rFonts w:hint="eastAsia" w:eastAsia="宋体" w:cs="Times New Roman"/>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成为该领域技术</w:t>
      </w:r>
      <w:r>
        <w:rPr>
          <w:rFonts w:hint="eastAsia" w:ascii="仿宋" w:hAnsi="仿宋" w:cs="仿宋"/>
          <w:color w:val="000000"/>
          <w:kern w:val="0"/>
          <w:sz w:val="24"/>
          <w:szCs w:val="24"/>
          <w:lang w:val="en-US" w:eastAsia="zh-CN" w:bidi="ar"/>
        </w:rPr>
        <w:t>的重点研究方向</w:t>
      </w:r>
      <w:r>
        <w:rPr>
          <w:rFonts w:hint="eastAsia" w:ascii="仿宋" w:hAnsi="仿宋" w:eastAsia="仿宋" w:cs="仿宋"/>
          <w:color w:val="000000"/>
          <w:kern w:val="0"/>
          <w:sz w:val="24"/>
          <w:szCs w:val="24"/>
          <w:lang w:val="en-US" w:eastAsia="zh-CN" w:bidi="ar"/>
        </w:rPr>
        <w:t>。这一领域的专利数量占比较大，反映了中国海洋风能发电装备制造技术在基础结构方面的深入研究和创新。在专利申请人方面，企事业单位与大专院校成为了主要的申请力量。其中</w:t>
      </w:r>
      <w:r>
        <w:rPr>
          <w:rFonts w:hint="eastAsia" w:ascii="仿宋" w:hAnsi="仿宋" w:cs="仿宋"/>
          <w:color w:val="000000"/>
          <w:kern w:val="0"/>
          <w:sz w:val="24"/>
          <w:szCs w:val="24"/>
          <w:lang w:val="en-US" w:eastAsia="zh-CN" w:bidi="ar"/>
        </w:rPr>
        <w:t>，</w:t>
      </w:r>
      <w:r>
        <w:rPr>
          <w:rFonts w:hint="eastAsia" w:ascii="仿宋" w:hAnsi="仿宋" w:cs="仿宋"/>
          <w:color w:val="000000"/>
          <w:kern w:val="0"/>
          <w:sz w:val="24"/>
          <w:szCs w:val="24"/>
          <w:highlight w:val="none"/>
          <w:lang w:val="en-US" w:eastAsia="zh-CN" w:bidi="ar"/>
        </w:rPr>
        <w:t>中国电建集团华东勘测设计研究院有限公司凭借其强大的技术实力和创新能力，以显著的优势成为了专利申请人中的佼佼者。此外</w:t>
      </w:r>
      <w:r>
        <w:rPr>
          <w:rFonts w:hint="eastAsia" w:ascii="仿宋" w:hAnsi="仿宋" w:cs="仿宋"/>
          <w:color w:val="000000"/>
          <w:kern w:val="0"/>
          <w:sz w:val="24"/>
          <w:szCs w:val="24"/>
          <w:lang w:val="en-US" w:eastAsia="zh-CN" w:bidi="ar"/>
        </w:rPr>
        <w:t>，在榜单前10名中无一例外全是国企、央企或者高校，进一步凸显了企业和高校在中国海洋风能发电装备制造行业创新体系中的核心地位。</w:t>
      </w:r>
    </w:p>
    <w:p w14:paraId="206AFC4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综上所述，我国海洋风能发电装备制造技术领域正步入一个蓬勃发展的高速成长期。从专利申请人类型的分布来看，企事业单位与高等教育机构携手并进，共同占据了该领域专利申请的前沿位置</w:t>
      </w:r>
      <w:r>
        <w:rPr>
          <w:rFonts w:hint="eastAsia" w:ascii="仿宋" w:hAnsi="仿宋" w:cs="仿宋"/>
          <w:color w:val="000000"/>
          <w:kern w:val="0"/>
          <w:sz w:val="24"/>
          <w:szCs w:val="24"/>
          <w:lang w:val="en-US" w:eastAsia="zh-CN" w:bidi="ar"/>
        </w:rPr>
        <w:t>。其中，大专院校与科研院所的单独申请量占据了总量的主导地位，占比超过</w:t>
      </w:r>
      <w:r>
        <w:rPr>
          <w:rFonts w:hint="default" w:ascii="Times New Roman" w:hAnsi="Times New Roman" w:cs="Times New Roman"/>
          <w:color w:val="000000"/>
          <w:kern w:val="0"/>
          <w:sz w:val="24"/>
          <w:szCs w:val="24"/>
          <w:lang w:val="en-US" w:eastAsia="zh-CN" w:bidi="ar"/>
        </w:rPr>
        <w:t>90%</w:t>
      </w:r>
      <w:r>
        <w:rPr>
          <w:rFonts w:hint="eastAsia" w:ascii="仿宋" w:hAnsi="仿宋" w:cs="仿宋"/>
          <w:color w:val="000000"/>
          <w:kern w:val="0"/>
          <w:sz w:val="24"/>
          <w:szCs w:val="24"/>
          <w:lang w:val="en-US" w:eastAsia="zh-CN" w:bidi="ar"/>
        </w:rPr>
        <w:t>，该比例深刻揭示了我国海洋风能发电装备制造行业内研发资源的高度集中态势，主要聚焦于企业与高校之中，为行业的持续进步与突破提供了坚实的支撑。因此，国企、央企应充分发挥产学研协同优势，加强与高校、科研机构的合作，共同推动科技成果产出和产业化应用，推动自主创新产品国产化替代、规模化应用，着力打通产业应用“最后一公里”。</w:t>
      </w:r>
      <w:r>
        <w:rPr>
          <w:rFonts w:hint="eastAsia" w:ascii="仿宋" w:hAnsi="仿宋" w:eastAsia="仿宋" w:cs="仿宋"/>
          <w:color w:val="000000"/>
          <w:kern w:val="0"/>
          <w:sz w:val="24"/>
          <w:szCs w:val="24"/>
          <w:lang w:val="en-US" w:eastAsia="zh-CN" w:bidi="ar"/>
        </w:rPr>
        <w:t>对于技术研发方面，我国</w:t>
      </w:r>
      <w:r>
        <w:rPr>
          <w:rFonts w:hint="eastAsia" w:ascii="仿宋" w:hAnsi="仿宋" w:cs="仿宋"/>
          <w:color w:val="000000"/>
          <w:kern w:val="0"/>
          <w:sz w:val="24"/>
          <w:szCs w:val="24"/>
          <w:lang w:val="en-US" w:eastAsia="zh-CN" w:bidi="ar"/>
        </w:rPr>
        <w:t>海洋风能发电装备制造</w:t>
      </w:r>
      <w:r>
        <w:rPr>
          <w:rFonts w:hint="eastAsia" w:ascii="仿宋" w:hAnsi="仿宋" w:eastAsia="仿宋" w:cs="仿宋"/>
          <w:color w:val="000000"/>
          <w:kern w:val="0"/>
          <w:sz w:val="24"/>
          <w:szCs w:val="24"/>
          <w:lang w:val="en-US" w:eastAsia="zh-CN" w:bidi="ar"/>
        </w:rPr>
        <w:t>的</w:t>
      </w:r>
      <w:r>
        <w:rPr>
          <w:rFonts w:hint="eastAsia" w:ascii="仿宋" w:hAnsi="仿宋" w:cs="仿宋"/>
          <w:color w:val="000000"/>
          <w:kern w:val="0"/>
          <w:sz w:val="24"/>
          <w:szCs w:val="24"/>
          <w:lang w:val="en-US" w:eastAsia="zh-CN" w:bidi="ar"/>
        </w:rPr>
        <w:t>研发重心偏向于</w:t>
      </w:r>
      <w:r>
        <w:rPr>
          <w:rFonts w:hint="eastAsia" w:ascii="仿宋" w:hAnsi="仿宋" w:eastAsia="仿宋" w:cs="仿宋"/>
          <w:color w:val="000000"/>
          <w:kern w:val="0"/>
          <w:sz w:val="24"/>
          <w:szCs w:val="24"/>
          <w:lang w:val="en-US" w:eastAsia="zh-CN" w:bidi="ar"/>
        </w:rPr>
        <w:t>作为下部结构的基础等领域</w:t>
      </w:r>
      <w:r>
        <w:rPr>
          <w:rFonts w:hint="eastAsia" w:ascii="仿宋" w:hAnsi="仿宋" w:cs="仿宋"/>
          <w:color w:val="000000"/>
          <w:kern w:val="0"/>
          <w:sz w:val="24"/>
          <w:szCs w:val="24"/>
          <w:lang w:val="en-US" w:eastAsia="zh-CN" w:bidi="ar"/>
        </w:rPr>
        <w:t>，技术的全面发展尚待加强。</w:t>
      </w:r>
      <w:r>
        <w:rPr>
          <w:rFonts w:hint="eastAsia" w:ascii="仿宋" w:hAnsi="仿宋" w:eastAsia="仿宋" w:cs="仿宋"/>
          <w:color w:val="000000"/>
          <w:kern w:val="0"/>
          <w:sz w:val="24"/>
          <w:szCs w:val="24"/>
          <w:lang w:val="en-US" w:eastAsia="zh-CN" w:bidi="ar"/>
        </w:rPr>
        <w:t>建议在巩固现有技术优势的基础上</w:t>
      </w:r>
      <w:r>
        <w:rPr>
          <w:rFonts w:hint="eastAsia" w:ascii="仿宋" w:hAnsi="仿宋" w:cs="仿宋"/>
          <w:color w:val="000000"/>
          <w:kern w:val="0"/>
          <w:sz w:val="24"/>
          <w:szCs w:val="24"/>
          <w:lang w:val="en-US" w:eastAsia="zh-CN" w:bidi="ar"/>
        </w:rPr>
        <w:t>，</w:t>
      </w:r>
      <w:r>
        <w:rPr>
          <w:rFonts w:hint="eastAsia" w:ascii="仿宋" w:hAnsi="仿宋" w:eastAsia="仿宋" w:cs="仿宋"/>
          <w:color w:val="000000"/>
          <w:kern w:val="0"/>
          <w:sz w:val="24"/>
          <w:szCs w:val="24"/>
          <w:lang w:val="en-US" w:eastAsia="zh-CN" w:bidi="ar"/>
        </w:rPr>
        <w:t>应用数字化、网络化、智能化技术，提升海洋风能发电装备制造的智能化水平，提高生产效率和产品质量。鼓励企业加大技术创新力度，推动风电装备向更高效、更环保、更智能的方向发展。积极参与国际海上风电装备制造市场竞争，拓展国际市场渠道，提高我国风电装备的国际竞争力。</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D16B">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8E9D8">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E4BC0">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5AAB">
    <w:pPr>
      <w:pStyle w:val="7"/>
      <w:pBdr>
        <w:top w:val="none" w:color="auto" w:sz="0" w:space="0"/>
        <w:left w:val="none" w:color="auto" w:sz="0" w:space="0"/>
        <w:bottom w:val="none" w:color="auto" w:sz="0" w:space="1"/>
        <w:right w:val="none" w:color="auto" w:sz="0" w:space="0"/>
        <w:between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28900">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A288">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AC085A"/>
    <w:multiLevelType w:val="multilevel"/>
    <w:tmpl w:val="4DAC085A"/>
    <w:lvl w:ilvl="0" w:tentative="0">
      <w:start w:val="1"/>
      <w:numFmt w:val="decimal"/>
      <w:pStyle w:val="2"/>
      <w:lvlText w:val="%1"/>
      <w:lvlJc w:val="left"/>
      <w:pPr>
        <w:ind w:left="0" w:firstLine="0"/>
      </w:pPr>
      <w:rPr>
        <w:rFonts w:hint="eastAsia"/>
      </w:rPr>
    </w:lvl>
    <w:lvl w:ilvl="1" w:tentative="0">
      <w:start w:val="1"/>
      <w:numFmt w:val="decimal"/>
      <w:pStyle w:val="3"/>
      <w:lvlText w:val="（%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2FmZTFjMzZlMDAzNzhkNzVmZGQ0NWNkNmQyMDIifQ=="/>
  </w:docVars>
  <w:rsids>
    <w:rsidRoot w:val="00172A27"/>
    <w:rsid w:val="0003586F"/>
    <w:rsid w:val="00060C6A"/>
    <w:rsid w:val="00136E0A"/>
    <w:rsid w:val="00163BE9"/>
    <w:rsid w:val="00234F4B"/>
    <w:rsid w:val="00267C60"/>
    <w:rsid w:val="00271973"/>
    <w:rsid w:val="00311CA2"/>
    <w:rsid w:val="00383DE3"/>
    <w:rsid w:val="004C0647"/>
    <w:rsid w:val="005319D6"/>
    <w:rsid w:val="005563F6"/>
    <w:rsid w:val="005A41FD"/>
    <w:rsid w:val="005C60AE"/>
    <w:rsid w:val="005E0D53"/>
    <w:rsid w:val="00687C67"/>
    <w:rsid w:val="0078143C"/>
    <w:rsid w:val="008578F1"/>
    <w:rsid w:val="00875150"/>
    <w:rsid w:val="008E2B2F"/>
    <w:rsid w:val="00933BFF"/>
    <w:rsid w:val="00970C5F"/>
    <w:rsid w:val="00975284"/>
    <w:rsid w:val="009A4668"/>
    <w:rsid w:val="00A0212E"/>
    <w:rsid w:val="00A368BA"/>
    <w:rsid w:val="00AB56FC"/>
    <w:rsid w:val="00B13304"/>
    <w:rsid w:val="00B5540B"/>
    <w:rsid w:val="00C22087"/>
    <w:rsid w:val="00D87294"/>
    <w:rsid w:val="00DE110E"/>
    <w:rsid w:val="00DF5D8D"/>
    <w:rsid w:val="00FA7CA8"/>
    <w:rsid w:val="00FB3A77"/>
    <w:rsid w:val="0100390C"/>
    <w:rsid w:val="01172A03"/>
    <w:rsid w:val="01260E98"/>
    <w:rsid w:val="01303AC5"/>
    <w:rsid w:val="01995B0E"/>
    <w:rsid w:val="01E21263"/>
    <w:rsid w:val="01EA0118"/>
    <w:rsid w:val="022950E4"/>
    <w:rsid w:val="025D6B3C"/>
    <w:rsid w:val="02753E85"/>
    <w:rsid w:val="02924A37"/>
    <w:rsid w:val="02994018"/>
    <w:rsid w:val="02BA3F8E"/>
    <w:rsid w:val="02C80459"/>
    <w:rsid w:val="02E80AFB"/>
    <w:rsid w:val="03351867"/>
    <w:rsid w:val="03A43F52"/>
    <w:rsid w:val="03AD58A1"/>
    <w:rsid w:val="03AD764F"/>
    <w:rsid w:val="03D80B70"/>
    <w:rsid w:val="04CE5ACF"/>
    <w:rsid w:val="04E13A54"/>
    <w:rsid w:val="053242B0"/>
    <w:rsid w:val="05685F23"/>
    <w:rsid w:val="05880374"/>
    <w:rsid w:val="05917228"/>
    <w:rsid w:val="05DE61E6"/>
    <w:rsid w:val="05E41A4E"/>
    <w:rsid w:val="062A4F87"/>
    <w:rsid w:val="06451DC1"/>
    <w:rsid w:val="065169B7"/>
    <w:rsid w:val="065D06CB"/>
    <w:rsid w:val="06896151"/>
    <w:rsid w:val="06A93C46"/>
    <w:rsid w:val="06D03D80"/>
    <w:rsid w:val="06DA3B03"/>
    <w:rsid w:val="06DC0977"/>
    <w:rsid w:val="06ED6FA7"/>
    <w:rsid w:val="07177C01"/>
    <w:rsid w:val="07230354"/>
    <w:rsid w:val="072365A6"/>
    <w:rsid w:val="072916E2"/>
    <w:rsid w:val="072E0AA7"/>
    <w:rsid w:val="074E2EF7"/>
    <w:rsid w:val="07630750"/>
    <w:rsid w:val="07746E01"/>
    <w:rsid w:val="07A331FF"/>
    <w:rsid w:val="07B471FE"/>
    <w:rsid w:val="07BE1E2B"/>
    <w:rsid w:val="07C531B9"/>
    <w:rsid w:val="07C5765D"/>
    <w:rsid w:val="07FA51A1"/>
    <w:rsid w:val="08123F24"/>
    <w:rsid w:val="082C3238"/>
    <w:rsid w:val="08397703"/>
    <w:rsid w:val="08404F36"/>
    <w:rsid w:val="0842480A"/>
    <w:rsid w:val="08602EE2"/>
    <w:rsid w:val="08730E67"/>
    <w:rsid w:val="08A059D4"/>
    <w:rsid w:val="08E458C1"/>
    <w:rsid w:val="0935611C"/>
    <w:rsid w:val="0969226A"/>
    <w:rsid w:val="09710873"/>
    <w:rsid w:val="09734E97"/>
    <w:rsid w:val="098473F0"/>
    <w:rsid w:val="098B21E0"/>
    <w:rsid w:val="09954E0D"/>
    <w:rsid w:val="09A3577C"/>
    <w:rsid w:val="09C63218"/>
    <w:rsid w:val="09F935EE"/>
    <w:rsid w:val="0A1E3055"/>
    <w:rsid w:val="0A895FA1"/>
    <w:rsid w:val="0AC534D0"/>
    <w:rsid w:val="0ACE6829"/>
    <w:rsid w:val="0AD57BB7"/>
    <w:rsid w:val="0AE67CFF"/>
    <w:rsid w:val="0AEC6CAF"/>
    <w:rsid w:val="0B00275A"/>
    <w:rsid w:val="0B1D50BA"/>
    <w:rsid w:val="0B212DFC"/>
    <w:rsid w:val="0B2226D0"/>
    <w:rsid w:val="0B2D79F3"/>
    <w:rsid w:val="0B3F3282"/>
    <w:rsid w:val="0B4D3BF1"/>
    <w:rsid w:val="0B6B4077"/>
    <w:rsid w:val="0B770C6E"/>
    <w:rsid w:val="0B8B471A"/>
    <w:rsid w:val="0C0A7D34"/>
    <w:rsid w:val="0C0D512F"/>
    <w:rsid w:val="0C4274CE"/>
    <w:rsid w:val="0C6A2581"/>
    <w:rsid w:val="0CCC6D98"/>
    <w:rsid w:val="0D417786"/>
    <w:rsid w:val="0D4252AC"/>
    <w:rsid w:val="0DBE2B84"/>
    <w:rsid w:val="0DCD1019"/>
    <w:rsid w:val="0DF06AB6"/>
    <w:rsid w:val="0E2F75DE"/>
    <w:rsid w:val="0E3E1F17"/>
    <w:rsid w:val="0E4868F2"/>
    <w:rsid w:val="0E5139F9"/>
    <w:rsid w:val="0E574D87"/>
    <w:rsid w:val="0E811E04"/>
    <w:rsid w:val="0EA33B28"/>
    <w:rsid w:val="0EB14497"/>
    <w:rsid w:val="0EB65F51"/>
    <w:rsid w:val="0EF3685E"/>
    <w:rsid w:val="0F0071CD"/>
    <w:rsid w:val="0F0F11BE"/>
    <w:rsid w:val="0F256C33"/>
    <w:rsid w:val="0F2F1860"/>
    <w:rsid w:val="0F39623B"/>
    <w:rsid w:val="0F825E34"/>
    <w:rsid w:val="104C32F3"/>
    <w:rsid w:val="104E7D16"/>
    <w:rsid w:val="10783CA7"/>
    <w:rsid w:val="10CD1330"/>
    <w:rsid w:val="11090198"/>
    <w:rsid w:val="11205904"/>
    <w:rsid w:val="117417AC"/>
    <w:rsid w:val="12011292"/>
    <w:rsid w:val="12274A70"/>
    <w:rsid w:val="1229233C"/>
    <w:rsid w:val="122E5DFF"/>
    <w:rsid w:val="1237502C"/>
    <w:rsid w:val="127E0B34"/>
    <w:rsid w:val="12AF6F40"/>
    <w:rsid w:val="12DA1AE3"/>
    <w:rsid w:val="12F86B39"/>
    <w:rsid w:val="13144FF5"/>
    <w:rsid w:val="133E2072"/>
    <w:rsid w:val="135950FD"/>
    <w:rsid w:val="137D0DEC"/>
    <w:rsid w:val="13954387"/>
    <w:rsid w:val="139B3968"/>
    <w:rsid w:val="13F25014"/>
    <w:rsid w:val="14060DE1"/>
    <w:rsid w:val="14425B91"/>
    <w:rsid w:val="144C07BE"/>
    <w:rsid w:val="14861F22"/>
    <w:rsid w:val="14B4083D"/>
    <w:rsid w:val="14CB3DD9"/>
    <w:rsid w:val="14CD7B51"/>
    <w:rsid w:val="150956B3"/>
    <w:rsid w:val="152E4A94"/>
    <w:rsid w:val="153761A3"/>
    <w:rsid w:val="15393438"/>
    <w:rsid w:val="153B0F5F"/>
    <w:rsid w:val="154C6CC8"/>
    <w:rsid w:val="15512530"/>
    <w:rsid w:val="157E0E4B"/>
    <w:rsid w:val="15AE1730"/>
    <w:rsid w:val="15CC1BB7"/>
    <w:rsid w:val="15CE1DD3"/>
    <w:rsid w:val="15DD3DC4"/>
    <w:rsid w:val="15FC4D8C"/>
    <w:rsid w:val="1606156C"/>
    <w:rsid w:val="162C08A7"/>
    <w:rsid w:val="164D0F49"/>
    <w:rsid w:val="16AD19E8"/>
    <w:rsid w:val="16BF796D"/>
    <w:rsid w:val="16F615E1"/>
    <w:rsid w:val="17017F86"/>
    <w:rsid w:val="1739327C"/>
    <w:rsid w:val="17575DF8"/>
    <w:rsid w:val="176A1687"/>
    <w:rsid w:val="17710C68"/>
    <w:rsid w:val="177B5642"/>
    <w:rsid w:val="178A1D29"/>
    <w:rsid w:val="17936E30"/>
    <w:rsid w:val="179D7CAF"/>
    <w:rsid w:val="17B44FF8"/>
    <w:rsid w:val="17D80CE7"/>
    <w:rsid w:val="17E01949"/>
    <w:rsid w:val="17E215FD"/>
    <w:rsid w:val="17EB6C6C"/>
    <w:rsid w:val="17EF7DDE"/>
    <w:rsid w:val="184B14B9"/>
    <w:rsid w:val="18610CDC"/>
    <w:rsid w:val="187529D9"/>
    <w:rsid w:val="1875736E"/>
    <w:rsid w:val="188C387F"/>
    <w:rsid w:val="18B3705E"/>
    <w:rsid w:val="18D47700"/>
    <w:rsid w:val="190C6EE7"/>
    <w:rsid w:val="198B3B37"/>
    <w:rsid w:val="19946E8F"/>
    <w:rsid w:val="19CC03D7"/>
    <w:rsid w:val="19DE010A"/>
    <w:rsid w:val="19EE47F1"/>
    <w:rsid w:val="1A0C4D2D"/>
    <w:rsid w:val="1A143B2C"/>
    <w:rsid w:val="1A18186E"/>
    <w:rsid w:val="1A1D50D7"/>
    <w:rsid w:val="1A2050FF"/>
    <w:rsid w:val="1A3F5B6B"/>
    <w:rsid w:val="1A644AB4"/>
    <w:rsid w:val="1A6B5E42"/>
    <w:rsid w:val="1AA61C49"/>
    <w:rsid w:val="1AAE390F"/>
    <w:rsid w:val="1ABA2925"/>
    <w:rsid w:val="1ADF238C"/>
    <w:rsid w:val="1B4D72F6"/>
    <w:rsid w:val="1B54283C"/>
    <w:rsid w:val="1B5E7755"/>
    <w:rsid w:val="1B636B19"/>
    <w:rsid w:val="1B682381"/>
    <w:rsid w:val="1B83540D"/>
    <w:rsid w:val="1C2A3ADB"/>
    <w:rsid w:val="1C2F2E9F"/>
    <w:rsid w:val="1C3109C5"/>
    <w:rsid w:val="1C47643B"/>
    <w:rsid w:val="1C493F61"/>
    <w:rsid w:val="1D1125A5"/>
    <w:rsid w:val="1D2247B2"/>
    <w:rsid w:val="1D24677C"/>
    <w:rsid w:val="1D266050"/>
    <w:rsid w:val="1D6D3C7F"/>
    <w:rsid w:val="1DA52ED7"/>
    <w:rsid w:val="1DC00253"/>
    <w:rsid w:val="1E366767"/>
    <w:rsid w:val="1E740C93"/>
    <w:rsid w:val="1E803E86"/>
    <w:rsid w:val="1EA90CE7"/>
    <w:rsid w:val="1EAA4A5F"/>
    <w:rsid w:val="1F114ADE"/>
    <w:rsid w:val="1F1F369F"/>
    <w:rsid w:val="1F1F71FB"/>
    <w:rsid w:val="1F2B2ED2"/>
    <w:rsid w:val="1F777037"/>
    <w:rsid w:val="1FD004F5"/>
    <w:rsid w:val="1FFE5062"/>
    <w:rsid w:val="20144886"/>
    <w:rsid w:val="20232D1B"/>
    <w:rsid w:val="20280331"/>
    <w:rsid w:val="202D3B9A"/>
    <w:rsid w:val="20745325"/>
    <w:rsid w:val="208F215E"/>
    <w:rsid w:val="209D0D1F"/>
    <w:rsid w:val="20A7394C"/>
    <w:rsid w:val="20AF2801"/>
    <w:rsid w:val="20C31E08"/>
    <w:rsid w:val="20C664D8"/>
    <w:rsid w:val="20E36B38"/>
    <w:rsid w:val="20F46465"/>
    <w:rsid w:val="21115269"/>
    <w:rsid w:val="213A656E"/>
    <w:rsid w:val="213B4094"/>
    <w:rsid w:val="219C4B33"/>
    <w:rsid w:val="21AB746C"/>
    <w:rsid w:val="224A458F"/>
    <w:rsid w:val="226715E5"/>
    <w:rsid w:val="227855A0"/>
    <w:rsid w:val="227B6E3E"/>
    <w:rsid w:val="22930D9A"/>
    <w:rsid w:val="22EE13BE"/>
    <w:rsid w:val="230706D2"/>
    <w:rsid w:val="231D7EF5"/>
    <w:rsid w:val="233C3329"/>
    <w:rsid w:val="236773C3"/>
    <w:rsid w:val="237613B4"/>
    <w:rsid w:val="2378512C"/>
    <w:rsid w:val="23AE4FF1"/>
    <w:rsid w:val="23CE11F0"/>
    <w:rsid w:val="23F24EDE"/>
    <w:rsid w:val="23FC7B0B"/>
    <w:rsid w:val="24092228"/>
    <w:rsid w:val="24174945"/>
    <w:rsid w:val="24343749"/>
    <w:rsid w:val="2446522A"/>
    <w:rsid w:val="245F009A"/>
    <w:rsid w:val="246102B6"/>
    <w:rsid w:val="247E49C4"/>
    <w:rsid w:val="24831FDA"/>
    <w:rsid w:val="24A3442A"/>
    <w:rsid w:val="24B46637"/>
    <w:rsid w:val="254479BB"/>
    <w:rsid w:val="254B6F9C"/>
    <w:rsid w:val="256516E0"/>
    <w:rsid w:val="25867FD4"/>
    <w:rsid w:val="25C61B3D"/>
    <w:rsid w:val="25D86356"/>
    <w:rsid w:val="25DC4098"/>
    <w:rsid w:val="25F30BE6"/>
    <w:rsid w:val="25FC0296"/>
    <w:rsid w:val="26914E82"/>
    <w:rsid w:val="26AB75C6"/>
    <w:rsid w:val="26BC7A25"/>
    <w:rsid w:val="26E2748C"/>
    <w:rsid w:val="271B4474"/>
    <w:rsid w:val="276E51C4"/>
    <w:rsid w:val="27962024"/>
    <w:rsid w:val="27AC7A9A"/>
    <w:rsid w:val="27D03788"/>
    <w:rsid w:val="28090A48"/>
    <w:rsid w:val="280D0539"/>
    <w:rsid w:val="29046AFF"/>
    <w:rsid w:val="294A756A"/>
    <w:rsid w:val="29A62ABE"/>
    <w:rsid w:val="29C61E16"/>
    <w:rsid w:val="29D55086"/>
    <w:rsid w:val="2A570191"/>
    <w:rsid w:val="2A8E3487"/>
    <w:rsid w:val="2AA8279A"/>
    <w:rsid w:val="2AF14141"/>
    <w:rsid w:val="2B3E4EAD"/>
    <w:rsid w:val="2B5B780D"/>
    <w:rsid w:val="2B74267D"/>
    <w:rsid w:val="2B746B21"/>
    <w:rsid w:val="2B976711"/>
    <w:rsid w:val="2BD001FB"/>
    <w:rsid w:val="2BF33EE9"/>
    <w:rsid w:val="2BF51A0F"/>
    <w:rsid w:val="2BFC0FF0"/>
    <w:rsid w:val="2C6E3570"/>
    <w:rsid w:val="2C7C5C8D"/>
    <w:rsid w:val="2CC87124"/>
    <w:rsid w:val="2CE455E0"/>
    <w:rsid w:val="2CFB12A7"/>
    <w:rsid w:val="2D0A773C"/>
    <w:rsid w:val="2D630BFB"/>
    <w:rsid w:val="2DC7118A"/>
    <w:rsid w:val="2E2C723F"/>
    <w:rsid w:val="2E5549E7"/>
    <w:rsid w:val="2ECB4CA9"/>
    <w:rsid w:val="2ED973C6"/>
    <w:rsid w:val="2EE713B8"/>
    <w:rsid w:val="2EEE2746"/>
    <w:rsid w:val="2F0D7070"/>
    <w:rsid w:val="2F316B28"/>
    <w:rsid w:val="2FB4573E"/>
    <w:rsid w:val="302503E9"/>
    <w:rsid w:val="30424C7D"/>
    <w:rsid w:val="304940D8"/>
    <w:rsid w:val="304F751B"/>
    <w:rsid w:val="30517430"/>
    <w:rsid w:val="30542A7D"/>
    <w:rsid w:val="307B625B"/>
    <w:rsid w:val="30921CAB"/>
    <w:rsid w:val="30BB2AFC"/>
    <w:rsid w:val="3140197F"/>
    <w:rsid w:val="31A812D2"/>
    <w:rsid w:val="31C84E47"/>
    <w:rsid w:val="31CD0D39"/>
    <w:rsid w:val="31E06CBE"/>
    <w:rsid w:val="31E247E4"/>
    <w:rsid w:val="31E5108C"/>
    <w:rsid w:val="323963CE"/>
    <w:rsid w:val="32452FC5"/>
    <w:rsid w:val="32582CF8"/>
    <w:rsid w:val="327F0285"/>
    <w:rsid w:val="32851613"/>
    <w:rsid w:val="332B5D17"/>
    <w:rsid w:val="3344327C"/>
    <w:rsid w:val="336851BD"/>
    <w:rsid w:val="337771AE"/>
    <w:rsid w:val="33843679"/>
    <w:rsid w:val="33B26438"/>
    <w:rsid w:val="33B977C6"/>
    <w:rsid w:val="33BE6B8B"/>
    <w:rsid w:val="33C10429"/>
    <w:rsid w:val="33CF0D98"/>
    <w:rsid w:val="33DB598F"/>
    <w:rsid w:val="33F407FF"/>
    <w:rsid w:val="33F627C9"/>
    <w:rsid w:val="34164A7F"/>
    <w:rsid w:val="344A6670"/>
    <w:rsid w:val="34655258"/>
    <w:rsid w:val="34784F8C"/>
    <w:rsid w:val="34F52A80"/>
    <w:rsid w:val="352E5F92"/>
    <w:rsid w:val="359F29EC"/>
    <w:rsid w:val="35B30245"/>
    <w:rsid w:val="36363350"/>
    <w:rsid w:val="364A2958"/>
    <w:rsid w:val="368D6CE8"/>
    <w:rsid w:val="36FC6348"/>
    <w:rsid w:val="37313B18"/>
    <w:rsid w:val="37781747"/>
    <w:rsid w:val="377F2AD5"/>
    <w:rsid w:val="37963071"/>
    <w:rsid w:val="37BA58BB"/>
    <w:rsid w:val="37CD1A92"/>
    <w:rsid w:val="38194CD8"/>
    <w:rsid w:val="389D1465"/>
    <w:rsid w:val="38A8605B"/>
    <w:rsid w:val="38D806EF"/>
    <w:rsid w:val="39893797"/>
    <w:rsid w:val="39932868"/>
    <w:rsid w:val="399A59A4"/>
    <w:rsid w:val="39BE5B37"/>
    <w:rsid w:val="39F74BA5"/>
    <w:rsid w:val="3A045513"/>
    <w:rsid w:val="3A4678DA"/>
    <w:rsid w:val="3A5C0EAC"/>
    <w:rsid w:val="3A63048C"/>
    <w:rsid w:val="3AD1189A"/>
    <w:rsid w:val="3B070E17"/>
    <w:rsid w:val="3B253993"/>
    <w:rsid w:val="3B4A33FA"/>
    <w:rsid w:val="3B520363"/>
    <w:rsid w:val="3B9A612F"/>
    <w:rsid w:val="3BC25DE6"/>
    <w:rsid w:val="3BD3519D"/>
    <w:rsid w:val="3C017F5D"/>
    <w:rsid w:val="3C0812EB"/>
    <w:rsid w:val="3C333E8E"/>
    <w:rsid w:val="3C3F0A85"/>
    <w:rsid w:val="3C616C4D"/>
    <w:rsid w:val="3C7F0E81"/>
    <w:rsid w:val="3CBC20D5"/>
    <w:rsid w:val="3CDD2778"/>
    <w:rsid w:val="3D6267D9"/>
    <w:rsid w:val="3D642AD9"/>
    <w:rsid w:val="3DC6374A"/>
    <w:rsid w:val="3DD07BE6"/>
    <w:rsid w:val="3DDF7E2A"/>
    <w:rsid w:val="3DE43692"/>
    <w:rsid w:val="3E3143FD"/>
    <w:rsid w:val="3E3A7756"/>
    <w:rsid w:val="3E3C1720"/>
    <w:rsid w:val="3E410AE4"/>
    <w:rsid w:val="3EAE3E3D"/>
    <w:rsid w:val="3EBA43F3"/>
    <w:rsid w:val="3EE14075"/>
    <w:rsid w:val="3EE576C2"/>
    <w:rsid w:val="3EEA117C"/>
    <w:rsid w:val="3EF773F5"/>
    <w:rsid w:val="3F163D1F"/>
    <w:rsid w:val="3F1C50AD"/>
    <w:rsid w:val="3F6E5909"/>
    <w:rsid w:val="3FC574F3"/>
    <w:rsid w:val="3FDF6807"/>
    <w:rsid w:val="3FE94F8F"/>
    <w:rsid w:val="3FF70672"/>
    <w:rsid w:val="3FFD4EDF"/>
    <w:rsid w:val="401069C0"/>
    <w:rsid w:val="401C35B7"/>
    <w:rsid w:val="402210DC"/>
    <w:rsid w:val="40381A73"/>
    <w:rsid w:val="403A1C8F"/>
    <w:rsid w:val="40864ED4"/>
    <w:rsid w:val="40C652D1"/>
    <w:rsid w:val="40D7128C"/>
    <w:rsid w:val="41076015"/>
    <w:rsid w:val="414C3A28"/>
    <w:rsid w:val="41780CC1"/>
    <w:rsid w:val="41C87477"/>
    <w:rsid w:val="41CE268F"/>
    <w:rsid w:val="42AE24C0"/>
    <w:rsid w:val="42C341BE"/>
    <w:rsid w:val="431C38CE"/>
    <w:rsid w:val="43397FDC"/>
    <w:rsid w:val="433B1FA6"/>
    <w:rsid w:val="4348021F"/>
    <w:rsid w:val="434C41B3"/>
    <w:rsid w:val="438C2802"/>
    <w:rsid w:val="43AF4742"/>
    <w:rsid w:val="43BB119C"/>
    <w:rsid w:val="43CA332A"/>
    <w:rsid w:val="43F00D00"/>
    <w:rsid w:val="44450C02"/>
    <w:rsid w:val="44550E45"/>
    <w:rsid w:val="44562E10"/>
    <w:rsid w:val="44625310"/>
    <w:rsid w:val="447119F7"/>
    <w:rsid w:val="447F2366"/>
    <w:rsid w:val="4496320C"/>
    <w:rsid w:val="449F0313"/>
    <w:rsid w:val="450D7972"/>
    <w:rsid w:val="45244CBC"/>
    <w:rsid w:val="45321187"/>
    <w:rsid w:val="45350C77"/>
    <w:rsid w:val="453E3FCF"/>
    <w:rsid w:val="45592BB7"/>
    <w:rsid w:val="456F4189"/>
    <w:rsid w:val="4597548E"/>
    <w:rsid w:val="45A1630C"/>
    <w:rsid w:val="45B778DE"/>
    <w:rsid w:val="45CE5353"/>
    <w:rsid w:val="45E05087"/>
    <w:rsid w:val="465810C1"/>
    <w:rsid w:val="465E7D59"/>
    <w:rsid w:val="4665558C"/>
    <w:rsid w:val="46674E60"/>
    <w:rsid w:val="46843C64"/>
    <w:rsid w:val="46BF4C9C"/>
    <w:rsid w:val="46DC584E"/>
    <w:rsid w:val="46E22739"/>
    <w:rsid w:val="46EE37D3"/>
    <w:rsid w:val="46F80C5B"/>
    <w:rsid w:val="472B2005"/>
    <w:rsid w:val="476D46F8"/>
    <w:rsid w:val="477F442B"/>
    <w:rsid w:val="47C92205"/>
    <w:rsid w:val="47EF335F"/>
    <w:rsid w:val="48335942"/>
    <w:rsid w:val="484A4A39"/>
    <w:rsid w:val="486A6E89"/>
    <w:rsid w:val="487C174B"/>
    <w:rsid w:val="48AE321A"/>
    <w:rsid w:val="48B14AB8"/>
    <w:rsid w:val="48C540C0"/>
    <w:rsid w:val="48D32C81"/>
    <w:rsid w:val="490746D8"/>
    <w:rsid w:val="491F5EC6"/>
    <w:rsid w:val="49311E2D"/>
    <w:rsid w:val="49496A9F"/>
    <w:rsid w:val="4953791E"/>
    <w:rsid w:val="49891591"/>
    <w:rsid w:val="49F27137"/>
    <w:rsid w:val="4A1B043B"/>
    <w:rsid w:val="4A835FE1"/>
    <w:rsid w:val="4AB12B4E"/>
    <w:rsid w:val="4ADA02F6"/>
    <w:rsid w:val="4B180E1F"/>
    <w:rsid w:val="4B59106A"/>
    <w:rsid w:val="4B893ACB"/>
    <w:rsid w:val="4BAE52DF"/>
    <w:rsid w:val="4BB270BA"/>
    <w:rsid w:val="4BBA1ED6"/>
    <w:rsid w:val="4BBC17AA"/>
    <w:rsid w:val="4BFE0015"/>
    <w:rsid w:val="4C03387D"/>
    <w:rsid w:val="4C343A36"/>
    <w:rsid w:val="4C567E51"/>
    <w:rsid w:val="4C577725"/>
    <w:rsid w:val="4CB30DFF"/>
    <w:rsid w:val="4D111FCA"/>
    <w:rsid w:val="4D21045F"/>
    <w:rsid w:val="4D461C73"/>
    <w:rsid w:val="4D5D6FBD"/>
    <w:rsid w:val="4D6640C3"/>
    <w:rsid w:val="4D862070"/>
    <w:rsid w:val="4D87403A"/>
    <w:rsid w:val="4D8C1650"/>
    <w:rsid w:val="4D92310A"/>
    <w:rsid w:val="4DBC1F35"/>
    <w:rsid w:val="4DC1579E"/>
    <w:rsid w:val="4DC46494"/>
    <w:rsid w:val="4DCF687D"/>
    <w:rsid w:val="4DEA6AA2"/>
    <w:rsid w:val="4E141D71"/>
    <w:rsid w:val="4E467A51"/>
    <w:rsid w:val="4E8F13F8"/>
    <w:rsid w:val="4E971861"/>
    <w:rsid w:val="4EA56E6D"/>
    <w:rsid w:val="4EB66985"/>
    <w:rsid w:val="4EEE25C2"/>
    <w:rsid w:val="4F053468"/>
    <w:rsid w:val="4F11005F"/>
    <w:rsid w:val="4F310701"/>
    <w:rsid w:val="4FAB400F"/>
    <w:rsid w:val="4FB8672C"/>
    <w:rsid w:val="4FBF3F5F"/>
    <w:rsid w:val="4FF84D7B"/>
    <w:rsid w:val="503264DF"/>
    <w:rsid w:val="50592E34"/>
    <w:rsid w:val="505F4DFA"/>
    <w:rsid w:val="50830AE8"/>
    <w:rsid w:val="50D70E34"/>
    <w:rsid w:val="51087240"/>
    <w:rsid w:val="512F6EC2"/>
    <w:rsid w:val="516C77CE"/>
    <w:rsid w:val="517D19DC"/>
    <w:rsid w:val="518E5997"/>
    <w:rsid w:val="51BE6144"/>
    <w:rsid w:val="51C4585C"/>
    <w:rsid w:val="51CD2963"/>
    <w:rsid w:val="51DC6676"/>
    <w:rsid w:val="51FC6DA4"/>
    <w:rsid w:val="520774F7"/>
    <w:rsid w:val="525503FE"/>
    <w:rsid w:val="525C5A95"/>
    <w:rsid w:val="527C1C93"/>
    <w:rsid w:val="52990A97"/>
    <w:rsid w:val="52A336C4"/>
    <w:rsid w:val="52F932E4"/>
    <w:rsid w:val="52FC2DD4"/>
    <w:rsid w:val="530A54F1"/>
    <w:rsid w:val="530C60F3"/>
    <w:rsid w:val="530D52E9"/>
    <w:rsid w:val="53544AC1"/>
    <w:rsid w:val="53552070"/>
    <w:rsid w:val="536F17F8"/>
    <w:rsid w:val="5385101B"/>
    <w:rsid w:val="53FC12DE"/>
    <w:rsid w:val="541F4FCC"/>
    <w:rsid w:val="54522A8F"/>
    <w:rsid w:val="54694499"/>
    <w:rsid w:val="54AF45A2"/>
    <w:rsid w:val="54CF254E"/>
    <w:rsid w:val="54DC2EBD"/>
    <w:rsid w:val="54E104D3"/>
    <w:rsid w:val="54E35FFA"/>
    <w:rsid w:val="55191603"/>
    <w:rsid w:val="552B3185"/>
    <w:rsid w:val="55540CA5"/>
    <w:rsid w:val="555A74BB"/>
    <w:rsid w:val="557E5D22"/>
    <w:rsid w:val="559548EB"/>
    <w:rsid w:val="55BD4A9D"/>
    <w:rsid w:val="55D65B5E"/>
    <w:rsid w:val="55E055A9"/>
    <w:rsid w:val="55F83D27"/>
    <w:rsid w:val="56130B60"/>
    <w:rsid w:val="568D446F"/>
    <w:rsid w:val="56933A4F"/>
    <w:rsid w:val="569577C7"/>
    <w:rsid w:val="5726041F"/>
    <w:rsid w:val="574865E8"/>
    <w:rsid w:val="577D2735"/>
    <w:rsid w:val="57B10631"/>
    <w:rsid w:val="57EA58F1"/>
    <w:rsid w:val="580544D9"/>
    <w:rsid w:val="580746F5"/>
    <w:rsid w:val="58E10AA2"/>
    <w:rsid w:val="58E81E30"/>
    <w:rsid w:val="591C7D2C"/>
    <w:rsid w:val="594B23BF"/>
    <w:rsid w:val="59576FB6"/>
    <w:rsid w:val="596F2552"/>
    <w:rsid w:val="59930F48"/>
    <w:rsid w:val="59975605"/>
    <w:rsid w:val="59B26A4A"/>
    <w:rsid w:val="59B41FB5"/>
    <w:rsid w:val="5A0013FC"/>
    <w:rsid w:val="5A236E98"/>
    <w:rsid w:val="5A272E2C"/>
    <w:rsid w:val="5A44753A"/>
    <w:rsid w:val="5A581238"/>
    <w:rsid w:val="5A700DA8"/>
    <w:rsid w:val="5A7D2A4C"/>
    <w:rsid w:val="5A8147E1"/>
    <w:rsid w:val="5A961BCC"/>
    <w:rsid w:val="5A9D30EE"/>
    <w:rsid w:val="5AE42ACB"/>
    <w:rsid w:val="5AE900E2"/>
    <w:rsid w:val="5AFE3B8D"/>
    <w:rsid w:val="5AFF16B3"/>
    <w:rsid w:val="5B092532"/>
    <w:rsid w:val="5B152C85"/>
    <w:rsid w:val="5B182775"/>
    <w:rsid w:val="5B922527"/>
    <w:rsid w:val="5B9C6F02"/>
    <w:rsid w:val="5BCB77E7"/>
    <w:rsid w:val="5BD237B0"/>
    <w:rsid w:val="5BD668B8"/>
    <w:rsid w:val="5BE32D83"/>
    <w:rsid w:val="5C2313D1"/>
    <w:rsid w:val="5C514387"/>
    <w:rsid w:val="5C6A5252"/>
    <w:rsid w:val="5C7834CB"/>
    <w:rsid w:val="5CB07109"/>
    <w:rsid w:val="5D094A6B"/>
    <w:rsid w:val="5D4B0BE0"/>
    <w:rsid w:val="5D942587"/>
    <w:rsid w:val="5DA64068"/>
    <w:rsid w:val="5DB03139"/>
    <w:rsid w:val="5DB90BFF"/>
    <w:rsid w:val="5DC664B8"/>
    <w:rsid w:val="5DCA244C"/>
    <w:rsid w:val="5DE52DE2"/>
    <w:rsid w:val="5E1E62F4"/>
    <w:rsid w:val="5E4775F9"/>
    <w:rsid w:val="5E9860A7"/>
    <w:rsid w:val="5EAC3900"/>
    <w:rsid w:val="5EB86749"/>
    <w:rsid w:val="5EC56770"/>
    <w:rsid w:val="5ECE3876"/>
    <w:rsid w:val="5F294F51"/>
    <w:rsid w:val="5F9C492E"/>
    <w:rsid w:val="5FEB1311"/>
    <w:rsid w:val="603718EF"/>
    <w:rsid w:val="60471B32"/>
    <w:rsid w:val="604D64B1"/>
    <w:rsid w:val="60786190"/>
    <w:rsid w:val="60A46F85"/>
    <w:rsid w:val="60B8658C"/>
    <w:rsid w:val="60D96503"/>
    <w:rsid w:val="61291238"/>
    <w:rsid w:val="614B5652"/>
    <w:rsid w:val="61811074"/>
    <w:rsid w:val="61A22D98"/>
    <w:rsid w:val="61C251E9"/>
    <w:rsid w:val="61D07906"/>
    <w:rsid w:val="61EA6C19"/>
    <w:rsid w:val="61F23D20"/>
    <w:rsid w:val="61F703D7"/>
    <w:rsid w:val="61F950AE"/>
    <w:rsid w:val="62031A89"/>
    <w:rsid w:val="625C563D"/>
    <w:rsid w:val="629D1EDE"/>
    <w:rsid w:val="639D5F0D"/>
    <w:rsid w:val="63AE3C76"/>
    <w:rsid w:val="63B0096C"/>
    <w:rsid w:val="63B75221"/>
    <w:rsid w:val="63DD455C"/>
    <w:rsid w:val="641F6922"/>
    <w:rsid w:val="64370110"/>
    <w:rsid w:val="64B27796"/>
    <w:rsid w:val="64D4595F"/>
    <w:rsid w:val="653A1C66"/>
    <w:rsid w:val="65436640"/>
    <w:rsid w:val="655A1765"/>
    <w:rsid w:val="659155FE"/>
    <w:rsid w:val="6593581A"/>
    <w:rsid w:val="65984BDE"/>
    <w:rsid w:val="65AB66C0"/>
    <w:rsid w:val="65C53B7F"/>
    <w:rsid w:val="65E240AB"/>
    <w:rsid w:val="66442670"/>
    <w:rsid w:val="66456B14"/>
    <w:rsid w:val="66FE4F15"/>
    <w:rsid w:val="67105873"/>
    <w:rsid w:val="671169F6"/>
    <w:rsid w:val="672A3F5C"/>
    <w:rsid w:val="674A015A"/>
    <w:rsid w:val="67627252"/>
    <w:rsid w:val="677A0A3F"/>
    <w:rsid w:val="67A21D44"/>
    <w:rsid w:val="6833299C"/>
    <w:rsid w:val="68394457"/>
    <w:rsid w:val="68406D62"/>
    <w:rsid w:val="689C6793"/>
    <w:rsid w:val="689E42BA"/>
    <w:rsid w:val="68BC5088"/>
    <w:rsid w:val="68CF6B69"/>
    <w:rsid w:val="68EC771B"/>
    <w:rsid w:val="68ED6FEF"/>
    <w:rsid w:val="693B7D5A"/>
    <w:rsid w:val="695E1C9B"/>
    <w:rsid w:val="69667335"/>
    <w:rsid w:val="696838FF"/>
    <w:rsid w:val="696C260A"/>
    <w:rsid w:val="698536CB"/>
    <w:rsid w:val="69AA3132"/>
    <w:rsid w:val="69AB1384"/>
    <w:rsid w:val="69B63885"/>
    <w:rsid w:val="69C441F4"/>
    <w:rsid w:val="69CE0BCF"/>
    <w:rsid w:val="69FF522C"/>
    <w:rsid w:val="6A09132A"/>
    <w:rsid w:val="6A097E59"/>
    <w:rsid w:val="6A1A3E14"/>
    <w:rsid w:val="6A6B28C1"/>
    <w:rsid w:val="6A975464"/>
    <w:rsid w:val="6A9D38B2"/>
    <w:rsid w:val="6ACB7804"/>
    <w:rsid w:val="6AD06BC8"/>
    <w:rsid w:val="6B1D005F"/>
    <w:rsid w:val="6B543355"/>
    <w:rsid w:val="6BA50055"/>
    <w:rsid w:val="6BAD2A66"/>
    <w:rsid w:val="6BB452B4"/>
    <w:rsid w:val="6BBC6011"/>
    <w:rsid w:val="6C1B3E73"/>
    <w:rsid w:val="6C3E1AFA"/>
    <w:rsid w:val="6C90796D"/>
    <w:rsid w:val="6CA976D1"/>
    <w:rsid w:val="6CE07597"/>
    <w:rsid w:val="6CE93F71"/>
    <w:rsid w:val="6D035033"/>
    <w:rsid w:val="6D5D6493"/>
    <w:rsid w:val="6D6655C2"/>
    <w:rsid w:val="6D934D50"/>
    <w:rsid w:val="6DF36E56"/>
    <w:rsid w:val="6E3000AA"/>
    <w:rsid w:val="6E5D69C5"/>
    <w:rsid w:val="6E7C32EF"/>
    <w:rsid w:val="6EEF1D13"/>
    <w:rsid w:val="6F23376B"/>
    <w:rsid w:val="6F345978"/>
    <w:rsid w:val="6F3C482C"/>
    <w:rsid w:val="6F593630"/>
    <w:rsid w:val="6F743FC6"/>
    <w:rsid w:val="6F8C57B4"/>
    <w:rsid w:val="6FAA5C3A"/>
    <w:rsid w:val="6FE729EA"/>
    <w:rsid w:val="6FF45AE0"/>
    <w:rsid w:val="707452B2"/>
    <w:rsid w:val="70787CDC"/>
    <w:rsid w:val="709F1517"/>
    <w:rsid w:val="70A46B2D"/>
    <w:rsid w:val="70BB79D3"/>
    <w:rsid w:val="70D0347E"/>
    <w:rsid w:val="70DD5B9B"/>
    <w:rsid w:val="70E1568B"/>
    <w:rsid w:val="70E37655"/>
    <w:rsid w:val="715916C6"/>
    <w:rsid w:val="716A5681"/>
    <w:rsid w:val="717464FF"/>
    <w:rsid w:val="718C1A9B"/>
    <w:rsid w:val="71A1306D"/>
    <w:rsid w:val="71D62D16"/>
    <w:rsid w:val="71FB277D"/>
    <w:rsid w:val="71FE04BF"/>
    <w:rsid w:val="721455EC"/>
    <w:rsid w:val="72233A82"/>
    <w:rsid w:val="724539F8"/>
    <w:rsid w:val="726522EC"/>
    <w:rsid w:val="728E539F"/>
    <w:rsid w:val="72964253"/>
    <w:rsid w:val="72C76B03"/>
    <w:rsid w:val="72F21DD2"/>
    <w:rsid w:val="730B69EF"/>
    <w:rsid w:val="731D6723"/>
    <w:rsid w:val="73353A6C"/>
    <w:rsid w:val="735C724B"/>
    <w:rsid w:val="73873564"/>
    <w:rsid w:val="738F5872"/>
    <w:rsid w:val="73CA0659"/>
    <w:rsid w:val="74085625"/>
    <w:rsid w:val="742064CB"/>
    <w:rsid w:val="74597C2E"/>
    <w:rsid w:val="74634609"/>
    <w:rsid w:val="749649DF"/>
    <w:rsid w:val="749F7D37"/>
    <w:rsid w:val="74B66E2F"/>
    <w:rsid w:val="750D2EF3"/>
    <w:rsid w:val="754601B3"/>
    <w:rsid w:val="755A1EB0"/>
    <w:rsid w:val="757D16FB"/>
    <w:rsid w:val="757F36C5"/>
    <w:rsid w:val="75930F1E"/>
    <w:rsid w:val="759727BC"/>
    <w:rsid w:val="75A650F5"/>
    <w:rsid w:val="75AD3D8E"/>
    <w:rsid w:val="75B01AD0"/>
    <w:rsid w:val="75BF3AC1"/>
    <w:rsid w:val="75D73501"/>
    <w:rsid w:val="76361FD5"/>
    <w:rsid w:val="76417752"/>
    <w:rsid w:val="765E32DA"/>
    <w:rsid w:val="76872831"/>
    <w:rsid w:val="76D57A40"/>
    <w:rsid w:val="76DD06A3"/>
    <w:rsid w:val="773B361B"/>
    <w:rsid w:val="775070C7"/>
    <w:rsid w:val="77530965"/>
    <w:rsid w:val="77E85551"/>
    <w:rsid w:val="782D565A"/>
    <w:rsid w:val="78434E7D"/>
    <w:rsid w:val="79052133"/>
    <w:rsid w:val="791A5BDE"/>
    <w:rsid w:val="79222CE5"/>
    <w:rsid w:val="797B1AFF"/>
    <w:rsid w:val="79B87BCF"/>
    <w:rsid w:val="7A304F8E"/>
    <w:rsid w:val="7A342CD0"/>
    <w:rsid w:val="7A4A42A1"/>
    <w:rsid w:val="7A770E0E"/>
    <w:rsid w:val="7AB21E46"/>
    <w:rsid w:val="7AEF4E49"/>
    <w:rsid w:val="7AFB37ED"/>
    <w:rsid w:val="7B5F1FCE"/>
    <w:rsid w:val="7B9854E0"/>
    <w:rsid w:val="7B9B0B2D"/>
    <w:rsid w:val="7BAE0860"/>
    <w:rsid w:val="7BB5399C"/>
    <w:rsid w:val="7BDD2EF3"/>
    <w:rsid w:val="7BE14791"/>
    <w:rsid w:val="7BE73D72"/>
    <w:rsid w:val="7BF02C26"/>
    <w:rsid w:val="7C232FFC"/>
    <w:rsid w:val="7C4116D4"/>
    <w:rsid w:val="7C6D24C9"/>
    <w:rsid w:val="7C6F4493"/>
    <w:rsid w:val="7C773348"/>
    <w:rsid w:val="7C975798"/>
    <w:rsid w:val="7CC320E9"/>
    <w:rsid w:val="7CF91FAF"/>
    <w:rsid w:val="7D7004C3"/>
    <w:rsid w:val="7D95588D"/>
    <w:rsid w:val="7D9F66B2"/>
    <w:rsid w:val="7E2968C4"/>
    <w:rsid w:val="7E3037AE"/>
    <w:rsid w:val="7E7F4735"/>
    <w:rsid w:val="7E8D6E52"/>
    <w:rsid w:val="7EA36676"/>
    <w:rsid w:val="7EC16AFC"/>
    <w:rsid w:val="7F1135E0"/>
    <w:rsid w:val="7F1E7AAB"/>
    <w:rsid w:val="7F2D4191"/>
    <w:rsid w:val="7F3948E4"/>
    <w:rsid w:val="7F625BE9"/>
    <w:rsid w:val="7F983D01"/>
    <w:rsid w:val="7FA206DC"/>
    <w:rsid w:val="7FAF9C8A"/>
    <w:rsid w:val="7FBD3767"/>
    <w:rsid w:val="7FC06DB4"/>
    <w:rsid w:val="7FD14B1D"/>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仿宋" w:cstheme="minorBidi"/>
      <w:kern w:val="2"/>
      <w:sz w:val="24"/>
      <w:szCs w:val="24"/>
      <w:lang w:val="en-US" w:eastAsia="zh-CN" w:bidi="ar-SA"/>
    </w:rPr>
  </w:style>
  <w:style w:type="paragraph" w:styleId="2">
    <w:name w:val="heading 1"/>
    <w:basedOn w:val="1"/>
    <w:next w:val="1"/>
    <w:link w:val="21"/>
    <w:qFormat/>
    <w:uiPriority w:val="9"/>
    <w:pPr>
      <w:keepNext/>
      <w:keepLines/>
      <w:numPr>
        <w:ilvl w:val="0"/>
        <w:numId w:val="1"/>
      </w:numPr>
      <w:spacing w:before="50" w:beforeLines="50" w:after="100" w:afterLines="100"/>
      <w:ind w:firstLineChars="0"/>
      <w:outlineLvl w:val="0"/>
    </w:pPr>
    <w:rPr>
      <w:rFonts w:eastAsia="宋体" w:asciiTheme="minorHAnsi" w:hAnsiTheme="minorHAnsi"/>
      <w:b/>
      <w:bCs/>
      <w:kern w:val="44"/>
      <w:sz w:val="28"/>
      <w:szCs w:val="44"/>
    </w:rPr>
  </w:style>
  <w:style w:type="paragraph" w:styleId="3">
    <w:name w:val="heading 2"/>
    <w:basedOn w:val="1"/>
    <w:next w:val="1"/>
    <w:unhideWhenUsed/>
    <w:qFormat/>
    <w:uiPriority w:val="9"/>
    <w:pPr>
      <w:keepNext/>
      <w:keepLines/>
      <w:numPr>
        <w:ilvl w:val="1"/>
        <w:numId w:val="1"/>
      </w:numPr>
      <w:spacing w:before="50" w:beforeLines="50" w:after="50" w:afterLines="50"/>
      <w:ind w:firstLineChars="0"/>
      <w:jc w:val="left"/>
      <w:outlineLvl w:val="1"/>
    </w:pPr>
    <w:rPr>
      <w:rFonts w:eastAsia="宋体" w:cstheme="majorBidi"/>
      <w:b/>
      <w:bCs/>
      <w:sz w:val="28"/>
      <w:szCs w:val="32"/>
    </w:rPr>
  </w:style>
  <w:style w:type="character" w:default="1" w:styleId="12">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autoRedefine/>
    <w:unhideWhenUsed/>
    <w:qFormat/>
    <w:uiPriority w:val="0"/>
    <w:pPr>
      <w:jc w:val="center"/>
    </w:pPr>
    <w:rPr>
      <w:rFonts w:ascii="Arial" w:hAnsi="Arial" w:eastAsia="黑体"/>
      <w:sz w:val="18"/>
    </w:rPr>
  </w:style>
  <w:style w:type="paragraph" w:styleId="5">
    <w:name w:val="annotation text"/>
    <w:basedOn w:val="1"/>
    <w:link w:val="19"/>
    <w:autoRedefine/>
    <w:qFormat/>
    <w:uiPriority w:val="0"/>
    <w:pPr>
      <w:jc w:val="left"/>
    </w:pPr>
  </w:style>
  <w:style w:type="paragraph" w:styleId="6">
    <w:name w:val="footer"/>
    <w:basedOn w:val="1"/>
    <w:link w:val="16"/>
    <w:autoRedefine/>
    <w:qFormat/>
    <w:uiPriority w:val="0"/>
    <w:pPr>
      <w:tabs>
        <w:tab w:val="center" w:pos="4153"/>
        <w:tab w:val="right" w:pos="8306"/>
      </w:tabs>
      <w:snapToGrid w:val="0"/>
      <w:spacing w:line="240" w:lineRule="auto"/>
      <w:jc w:val="left"/>
    </w:pPr>
    <w:rPr>
      <w:sz w:val="18"/>
      <w:szCs w:val="18"/>
    </w:rPr>
  </w:style>
  <w:style w:type="paragraph" w:styleId="7">
    <w:name w:val="header"/>
    <w:basedOn w:val="1"/>
    <w:link w:val="15"/>
    <w:autoRedefine/>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itle"/>
    <w:basedOn w:val="1"/>
    <w:next w:val="1"/>
    <w:link w:val="17"/>
    <w:autoRedefine/>
    <w:qFormat/>
    <w:uiPriority w:val="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5"/>
    <w:next w:val="5"/>
    <w:link w:val="20"/>
    <w:autoRedefine/>
    <w:qFormat/>
    <w:uiPriority w:val="0"/>
    <w:rPr>
      <w:b/>
      <w:bCs/>
    </w:rPr>
  </w:style>
  <w:style w:type="table" w:styleId="11">
    <w:name w:val="Table Grid"/>
    <w:basedOn w:val="1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annotation reference"/>
    <w:basedOn w:val="12"/>
    <w:autoRedefine/>
    <w:qFormat/>
    <w:uiPriority w:val="0"/>
    <w:rPr>
      <w:sz w:val="21"/>
      <w:szCs w:val="21"/>
    </w:rPr>
  </w:style>
  <w:style w:type="character" w:customStyle="1" w:styleId="15">
    <w:name w:val="页眉 字符"/>
    <w:basedOn w:val="12"/>
    <w:link w:val="7"/>
    <w:autoRedefine/>
    <w:qFormat/>
    <w:uiPriority w:val="0"/>
    <w:rPr>
      <w:rFonts w:eastAsia="仿宋" w:cstheme="minorBidi"/>
      <w:kern w:val="2"/>
      <w:sz w:val="18"/>
      <w:szCs w:val="18"/>
    </w:rPr>
  </w:style>
  <w:style w:type="character" w:customStyle="1" w:styleId="16">
    <w:name w:val="页脚 字符"/>
    <w:basedOn w:val="12"/>
    <w:link w:val="6"/>
    <w:autoRedefine/>
    <w:qFormat/>
    <w:uiPriority w:val="0"/>
    <w:rPr>
      <w:rFonts w:eastAsia="仿宋" w:cstheme="minorBidi"/>
      <w:kern w:val="2"/>
      <w:sz w:val="18"/>
      <w:szCs w:val="18"/>
    </w:rPr>
  </w:style>
  <w:style w:type="character" w:customStyle="1" w:styleId="17">
    <w:name w:val="标题 字符"/>
    <w:basedOn w:val="12"/>
    <w:link w:val="8"/>
    <w:autoRedefine/>
    <w:qFormat/>
    <w:uiPriority w:val="0"/>
    <w:rPr>
      <w:rFonts w:asciiTheme="majorHAnsi" w:hAnsiTheme="majorHAnsi" w:eastAsiaTheme="majorEastAsia" w:cstheme="majorBidi"/>
      <w:b/>
      <w:bCs/>
      <w:kern w:val="2"/>
      <w:sz w:val="32"/>
      <w:szCs w:val="32"/>
    </w:rPr>
  </w:style>
  <w:style w:type="paragraph" w:customStyle="1" w:styleId="18">
    <w:name w:val="表题注格式"/>
    <w:basedOn w:val="1"/>
    <w:autoRedefine/>
    <w:qFormat/>
    <w:uiPriority w:val="0"/>
    <w:pPr>
      <w:keepNext/>
      <w:spacing w:line="240" w:lineRule="auto"/>
      <w:ind w:firstLine="0" w:firstLineChars="0"/>
      <w:jc w:val="center"/>
    </w:pPr>
    <w:rPr>
      <w:rFonts w:ascii="黑体" w:eastAsia="黑体" w:cs="Times New Roman"/>
      <w:sz w:val="20"/>
      <w:szCs w:val="20"/>
    </w:rPr>
  </w:style>
  <w:style w:type="character" w:customStyle="1" w:styleId="19">
    <w:name w:val="批注文字 字符"/>
    <w:basedOn w:val="12"/>
    <w:link w:val="5"/>
    <w:autoRedefine/>
    <w:qFormat/>
    <w:uiPriority w:val="0"/>
    <w:rPr>
      <w:rFonts w:eastAsia="仿宋" w:cstheme="minorBidi"/>
      <w:kern w:val="2"/>
      <w:sz w:val="24"/>
      <w:szCs w:val="24"/>
    </w:rPr>
  </w:style>
  <w:style w:type="character" w:customStyle="1" w:styleId="20">
    <w:name w:val="批注主题 字符"/>
    <w:basedOn w:val="19"/>
    <w:link w:val="9"/>
    <w:autoRedefine/>
    <w:qFormat/>
    <w:uiPriority w:val="0"/>
    <w:rPr>
      <w:rFonts w:eastAsia="仿宋" w:cstheme="minorBidi"/>
      <w:b/>
      <w:bCs/>
      <w:kern w:val="2"/>
      <w:sz w:val="24"/>
      <w:szCs w:val="24"/>
    </w:rPr>
  </w:style>
  <w:style w:type="character" w:customStyle="1" w:styleId="21">
    <w:name w:val="标题 1 Char"/>
    <w:link w:val="2"/>
    <w:autoRedefine/>
    <w:qFormat/>
    <w:uiPriority w:val="9"/>
    <w:rPr>
      <w:rFonts w:eastAsia="宋体" w:asciiTheme="minorHAnsi" w:hAnsiTheme="minorHAnsi"/>
      <w:b/>
      <w:bCs/>
      <w:kern w:val="44"/>
      <w:sz w:val="28"/>
      <w:szCs w:val="44"/>
    </w:rPr>
  </w:style>
  <w:style w:type="character" w:customStyle="1" w:styleId="22">
    <w:name w:val="font51"/>
    <w:basedOn w:val="12"/>
    <w:qFormat/>
    <w:uiPriority w:val="0"/>
    <w:rPr>
      <w:rFonts w:hint="default" w:ascii="Times New Roman" w:hAnsi="Times New Roman" w:cs="Times New Roman"/>
      <w:color w:val="000000"/>
      <w:sz w:val="21"/>
      <w:szCs w:val="21"/>
      <w:u w:val="none"/>
    </w:rPr>
  </w:style>
  <w:style w:type="character" w:customStyle="1" w:styleId="23">
    <w:name w:val="font41"/>
    <w:basedOn w:val="12"/>
    <w:qFormat/>
    <w:uiPriority w:val="0"/>
    <w:rPr>
      <w:rFonts w:hint="eastAsia" w:ascii="仿宋" w:hAnsi="仿宋" w:eastAsia="仿宋" w:cs="仿宋"/>
      <w:color w:val="000000"/>
      <w:sz w:val="21"/>
      <w:szCs w:val="21"/>
      <w:u w:val="none"/>
    </w:rPr>
  </w:style>
  <w:style w:type="character" w:customStyle="1" w:styleId="24">
    <w:name w:val="font31"/>
    <w:basedOn w:val="12"/>
    <w:qFormat/>
    <w:uiPriority w:val="0"/>
    <w:rPr>
      <w:rFonts w:hint="default" w:ascii="Times New Roman" w:hAnsi="Times New Roman" w:cs="Times New Roman"/>
      <w:color w:val="000000"/>
      <w:sz w:val="21"/>
      <w:szCs w:val="21"/>
      <w:u w:val="none"/>
    </w:rPr>
  </w:style>
  <w:style w:type="character" w:customStyle="1" w:styleId="25">
    <w:name w:val="font21"/>
    <w:basedOn w:val="12"/>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6.xml"/><Relationship Id="rId21" Type="http://schemas.openxmlformats.org/officeDocument/2006/relationships/chart" Target="charts/chart5.xml"/><Relationship Id="rId20" Type="http://schemas.openxmlformats.org/officeDocument/2006/relationships/chart" Target="charts/chart4.xml"/><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chart" Target="charts/chart3.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chart" Target="charts/chart2.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21512;&#21516;&#31867;&#25991;&#20214;\&#23454;&#26045;\&#27733;&#23614;&#23548;&#33322;+&#31616;&#25253;\&#31616;&#25253;\3&#28023;&#27915;&#39118;&#33021;&#21457;&#30005;&#35013;&#22791;&#21046;&#36896;\3&#31616;&#25253;&#25968;&#25454;&#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F:\&#21512;&#21516;&#31867;&#25991;&#20214;\&#23454;&#26045;\&#27733;&#23614;&#23548;&#33322;+&#31616;&#25253;\&#31616;&#25253;\3&#28023;&#27915;&#39118;&#33021;&#21457;&#30005;&#35013;&#22791;&#21046;&#36896;\3&#34676;&#34678;&#2227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F:\&#21512;&#21516;&#31867;&#25991;&#20214;\&#23454;&#26045;\&#27733;&#23614;&#23548;&#33322;+&#31616;&#25253;\&#31616;&#25253;\3&#28023;&#27915;&#39118;&#33021;&#21457;&#30005;&#35013;&#22791;&#21046;&#36896;\3&#34676;&#34678;&#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F:\&#21512;&#21516;&#31867;&#25991;&#20214;\&#23454;&#26045;\&#27733;&#23614;&#23548;&#33322;+&#31616;&#25253;\&#31616;&#25253;\3&#28023;&#27915;&#39118;&#33021;&#21457;&#30005;&#35013;&#22791;&#21046;&#36896;\3&#31616;&#25253;&#25968;&#25454;&#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21512;&#21516;&#31867;&#25991;&#20214;\&#23454;&#26045;\&#27733;&#23614;&#23548;&#33322;+&#31616;&#25253;\&#31616;&#25253;\3&#28023;&#27915;&#39118;&#33021;&#21457;&#30005;&#35013;&#22791;&#21046;&#36896;\3&#31616;&#25253;&#25968;&#25454;&#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F:\&#21512;&#21516;&#31867;&#25991;&#20214;\&#23454;&#26045;\&#27733;&#23614;&#23548;&#33322;+&#31616;&#25253;\&#31616;&#25253;\3&#28023;&#27915;&#39118;&#33021;&#21457;&#30005;&#35013;&#22791;&#21046;&#36896;\3&#31616;&#25253;&#25968;&#25454;&#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0237497126763747"/>
          <c:y val="0.00694444444444444"/>
          <c:w val="0.972302918902573"/>
          <c:h val="0.762824074074074"/>
        </c:manualLayout>
      </c:layout>
      <c:lineChart>
        <c:grouping val="stacked"/>
        <c:varyColors val="0"/>
        <c:ser>
          <c:idx val="0"/>
          <c:order val="0"/>
          <c:tx>
            <c:strRef>
              <c:f>'[3简报数据图表.xlsx]1'!$B$24</c:f>
              <c:strCache>
                <c:ptCount val="1"/>
                <c:pt idx="0">
                  <c:v>专利申请量</c:v>
                </c:pt>
              </c:strCache>
            </c:strRef>
          </c:tx>
          <c:spPr>
            <a:ln w="28575" cap="rnd">
              <a:solidFill>
                <a:schemeClr val="accent1">
                  <a:shade val="76667"/>
                </a:schemeClr>
              </a:solidFill>
              <a:round/>
            </a:ln>
            <a:effectLst>
              <a:outerShdw blurRad="50800" dist="25400" dir="5400000" algn="t" rotWithShape="0">
                <a:schemeClr val="accent1">
                  <a:shade val="76667"/>
                  <a:lumMod val="50000"/>
                  <a:alpha val="30000"/>
                </a:schemeClr>
              </a:outerShdw>
            </a:effectLst>
          </c:spPr>
          <c:marker>
            <c:symbol val="circle"/>
            <c:size val="5"/>
            <c:spPr>
              <a:solidFill>
                <a:schemeClr val="accent1">
                  <a:shade val="76667"/>
                </a:schemeClr>
              </a:solidFill>
              <a:ln w="19050">
                <a:solidFill>
                  <a:schemeClr val="lt1"/>
                </a:solidFill>
              </a:ln>
              <a:effectLst>
                <a:outerShdw blurRad="50800" dist="25400" dir="5400000" algn="t" rotWithShape="0">
                  <a:schemeClr val="accent1">
                    <a:shade val="76667"/>
                    <a:lumMod val="50000"/>
                    <a:alpha val="30000"/>
                  </a:schemeClr>
                </a:outerShdw>
              </a:effectLst>
            </c:spPr>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delete val="1"/>
            </c:dLbl>
            <c:dLbl>
              <c:idx val="19"/>
              <c:layout>
                <c:manualLayout>
                  <c:x val="-0.0684914841849148"/>
                  <c:y val="-0.0868055555555556"/>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2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numRef>
              <c:f>'[3简报数据图表.xlsx]1'!$A$25:$A$45</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'[3简报数据图表.xlsx]1'!$B$25:$B$45</c:f>
              <c:numCache>
                <c:formatCode>General</c:formatCode>
                <c:ptCount val="21"/>
                <c:pt idx="0">
                  <c:v>18</c:v>
                </c:pt>
                <c:pt idx="1">
                  <c:v>22</c:v>
                </c:pt>
                <c:pt idx="2">
                  <c:v>52</c:v>
                </c:pt>
                <c:pt idx="3">
                  <c:v>59</c:v>
                </c:pt>
                <c:pt idx="4">
                  <c:v>71</c:v>
                </c:pt>
                <c:pt idx="5">
                  <c:v>124</c:v>
                </c:pt>
                <c:pt idx="6">
                  <c:v>222</c:v>
                </c:pt>
                <c:pt idx="7">
                  <c:v>266</c:v>
                </c:pt>
                <c:pt idx="8">
                  <c:v>372</c:v>
                </c:pt>
                <c:pt idx="9">
                  <c:v>305</c:v>
                </c:pt>
                <c:pt idx="10">
                  <c:v>429</c:v>
                </c:pt>
                <c:pt idx="11">
                  <c:v>444</c:v>
                </c:pt>
                <c:pt idx="12">
                  <c:v>619</c:v>
                </c:pt>
                <c:pt idx="13">
                  <c:v>710</c:v>
                </c:pt>
                <c:pt idx="14">
                  <c:v>826</c:v>
                </c:pt>
                <c:pt idx="15">
                  <c:v>924</c:v>
                </c:pt>
                <c:pt idx="16">
                  <c:v>1392</c:v>
                </c:pt>
                <c:pt idx="17">
                  <c:v>1714</c:v>
                </c:pt>
                <c:pt idx="18">
                  <c:v>1696</c:v>
                </c:pt>
                <c:pt idx="19">
                  <c:v>1795</c:v>
                </c:pt>
                <c:pt idx="20">
                  <c:v>575</c:v>
                </c:pt>
              </c:numCache>
            </c:numRef>
          </c:val>
          <c:smooth val="0"/>
        </c:ser>
        <c:ser>
          <c:idx val="1"/>
          <c:order val="1"/>
          <c:tx>
            <c:strRef>
              <c:f>'[3简报数据图表.xlsx]1'!$C$24</c:f>
              <c:strCache>
                <c:ptCount val="1"/>
                <c:pt idx="0">
                  <c:v>专利授权量</c:v>
                </c:pt>
              </c:strCache>
            </c:strRef>
          </c:tx>
          <c:spPr>
            <a:ln w="28575" cap="rnd">
              <a:solidFill>
                <a:schemeClr val="accent1">
                  <a:tint val="76667"/>
                </a:schemeClr>
              </a:solidFill>
              <a:round/>
            </a:ln>
            <a:effectLst>
              <a:outerShdw blurRad="50800" dist="25400" dir="5400000" algn="t" rotWithShape="0">
                <a:schemeClr val="accent1">
                  <a:tint val="76667"/>
                  <a:lumMod val="50000"/>
                  <a:alpha val="30000"/>
                </a:schemeClr>
              </a:outerShdw>
            </a:effectLst>
          </c:spPr>
          <c:marker>
            <c:symbol val="circle"/>
            <c:size val="5"/>
            <c:spPr>
              <a:solidFill>
                <a:schemeClr val="accent1">
                  <a:tint val="76667"/>
                </a:schemeClr>
              </a:solidFill>
              <a:ln w="19050">
                <a:solidFill>
                  <a:schemeClr val="lt1"/>
                </a:solidFill>
              </a:ln>
              <a:effectLst>
                <a:outerShdw blurRad="50800" dist="25400" dir="5400000" algn="t" rotWithShape="0">
                  <a:schemeClr val="accent1">
                    <a:tint val="76667"/>
                    <a:lumMod val="50000"/>
                    <a:alpha val="30000"/>
                  </a:schemeClr>
                </a:outerShdw>
              </a:effectLst>
            </c:spPr>
          </c:marker>
          <c:dLbls>
            <c:dLbl>
              <c:idx val="0"/>
              <c:delete val="1"/>
            </c:dLbl>
            <c:dLbl>
              <c:idx val="1"/>
              <c:delete val="1"/>
            </c:dLbl>
            <c:dLbl>
              <c:idx val="2"/>
              <c:delete val="1"/>
            </c:dLbl>
            <c:dLbl>
              <c:idx val="3"/>
              <c:delete val="1"/>
            </c:dLbl>
            <c:dLbl>
              <c:idx val="4"/>
              <c:delete val="1"/>
            </c:dLbl>
            <c:dLbl>
              <c:idx val="5"/>
              <c:delete val="1"/>
            </c:dLbl>
            <c:dLbl>
              <c:idx val="6"/>
              <c:delete val="1"/>
            </c:dLbl>
            <c:dLbl>
              <c:idx val="7"/>
              <c:delete val="1"/>
            </c:dLbl>
            <c:dLbl>
              <c:idx val="8"/>
              <c:delete val="1"/>
            </c:dLbl>
            <c:dLbl>
              <c:idx val="9"/>
              <c:delete val="1"/>
            </c:dLbl>
            <c:dLbl>
              <c:idx val="10"/>
              <c:delete val="1"/>
            </c:dLbl>
            <c:dLbl>
              <c:idx val="11"/>
              <c:delete val="1"/>
            </c:dLbl>
            <c:dLbl>
              <c:idx val="12"/>
              <c:delete val="1"/>
            </c:dLbl>
            <c:dLbl>
              <c:idx val="13"/>
              <c:delete val="1"/>
            </c:dLbl>
            <c:dLbl>
              <c:idx val="14"/>
              <c:delete val="1"/>
            </c:dLbl>
            <c:dLbl>
              <c:idx val="15"/>
              <c:delete val="1"/>
            </c:dLbl>
            <c:dLbl>
              <c:idx val="16"/>
              <c:delete val="1"/>
            </c:dLbl>
            <c:dLbl>
              <c:idx val="17"/>
              <c:delete val="1"/>
            </c:dLbl>
            <c:dLbl>
              <c:idx val="18"/>
              <c:layout>
                <c:manualLayout>
                  <c:x val="-0.0197080291970803"/>
                  <c:y val="-0.0636574074074074"/>
                </c:manualLayout>
              </c:layout>
              <c:dLblPos val="r"/>
              <c:showLegendKey val="0"/>
              <c:showVal val="1"/>
              <c:showCatName val="0"/>
              <c:showSerName val="0"/>
              <c:showPercent val="0"/>
              <c:showBubbleSize val="0"/>
              <c:extLst>
                <c:ext xmlns:c15="http://schemas.microsoft.com/office/drawing/2012/chart" uri="{CE6537A1-D6FC-4f65-9D91-7224C49458BB}">
                  <c15:layout/>
                </c:ext>
              </c:extLst>
            </c:dLbl>
            <c:dLbl>
              <c:idx val="19"/>
              <c:delete val="1"/>
            </c:dLbl>
            <c:dLbl>
              <c:idx val="2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numRef>
              <c:f>'[3简报数据图表.xlsx]1'!$A$25:$A$45</c:f>
              <c:numCache>
                <c:formatCode>General</c:formatCode>
                <c:ptCount val="21"/>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2022</c:v>
                </c:pt>
                <c:pt idx="19">
                  <c:v>2023</c:v>
                </c:pt>
                <c:pt idx="20">
                  <c:v>2024</c:v>
                </c:pt>
              </c:numCache>
            </c:numRef>
          </c:cat>
          <c:val>
            <c:numRef>
              <c:f>'[3简报数据图表.xlsx]1'!$C$25:$C$45</c:f>
              <c:numCache>
                <c:formatCode>General</c:formatCode>
                <c:ptCount val="21"/>
                <c:pt idx="0">
                  <c:v>9</c:v>
                </c:pt>
                <c:pt idx="1">
                  <c:v>10</c:v>
                </c:pt>
                <c:pt idx="2">
                  <c:v>10</c:v>
                </c:pt>
                <c:pt idx="3">
                  <c:v>36</c:v>
                </c:pt>
                <c:pt idx="4">
                  <c:v>29</c:v>
                </c:pt>
                <c:pt idx="5">
                  <c:v>39</c:v>
                </c:pt>
                <c:pt idx="6">
                  <c:v>105</c:v>
                </c:pt>
                <c:pt idx="7">
                  <c:v>139</c:v>
                </c:pt>
                <c:pt idx="8">
                  <c:v>200</c:v>
                </c:pt>
                <c:pt idx="9">
                  <c:v>240</c:v>
                </c:pt>
                <c:pt idx="10">
                  <c:v>265</c:v>
                </c:pt>
                <c:pt idx="11">
                  <c:v>337</c:v>
                </c:pt>
                <c:pt idx="12">
                  <c:v>343</c:v>
                </c:pt>
                <c:pt idx="13">
                  <c:v>386</c:v>
                </c:pt>
                <c:pt idx="14">
                  <c:v>544</c:v>
                </c:pt>
                <c:pt idx="15">
                  <c:v>493</c:v>
                </c:pt>
                <c:pt idx="16">
                  <c:v>684</c:v>
                </c:pt>
                <c:pt idx="17">
                  <c:v>1081</c:v>
                </c:pt>
                <c:pt idx="18">
                  <c:v>1316</c:v>
                </c:pt>
                <c:pt idx="19">
                  <c:v>1089</c:v>
                </c:pt>
                <c:pt idx="20">
                  <c:v>908</c:v>
                </c:pt>
              </c:numCache>
            </c:numRef>
          </c:val>
          <c:smooth val="0"/>
        </c:ser>
        <c:dLbls>
          <c:showLegendKey val="0"/>
          <c:showVal val="0"/>
          <c:showCatName val="0"/>
          <c:showSerName val="0"/>
          <c:showPercent val="0"/>
          <c:showBubbleSize val="0"/>
        </c:dLbls>
        <c:marker val="1"/>
        <c:smooth val="0"/>
        <c:axId val="80570509"/>
        <c:axId val="470531707"/>
      </c:lineChart>
      <c:catAx>
        <c:axId val="80570509"/>
        <c:scaling>
          <c:orientation val="minMax"/>
        </c:scaling>
        <c:delete val="0"/>
        <c:axPos val="b"/>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470531707"/>
        <c:crosses val="autoZero"/>
        <c:auto val="1"/>
        <c:lblAlgn val="ctr"/>
        <c:lblOffset val="100"/>
        <c:noMultiLvlLbl val="0"/>
      </c:catAx>
      <c:valAx>
        <c:axId val="470531707"/>
        <c:scaling>
          <c:orientation val="minMax"/>
        </c:scaling>
        <c:delete val="1"/>
        <c:axPos val="l"/>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0570509"/>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9c60b4fb-43c6-4f0c-bb17-20f3ac98defc}"/>
      </c:ext>
    </c:extLst>
  </c:chart>
  <c:spPr>
    <a:solidFill>
      <a:sysClr val="window" lastClr="FFFFFF"/>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15766423357664"/>
          <c:y val="0.008203125"/>
          <c:w val="0.342262773722628"/>
          <c:h val="0.9107421875"/>
        </c:manualLayout>
      </c:layout>
      <c:barChart>
        <c:barDir val="bar"/>
        <c:grouping val="clustered"/>
        <c:varyColors val="0"/>
        <c:ser>
          <c:idx val="0"/>
          <c:order val="0"/>
          <c:tx>
            <c:strRef>
              <c:f>[3蝴蝶图.xlsx]全国!$F$101</c:f>
              <c:strCache>
                <c:ptCount val="1"/>
                <c:pt idx="0">
                  <c:v>专利授权量</c:v>
                </c:pt>
              </c:strCache>
            </c:strRef>
          </c:tx>
          <c:spPr>
            <a:solidFill>
              <a:srgbClr val="A3C6D5"/>
            </a:solidFill>
            <a:ln>
              <a:noFill/>
            </a:ln>
            <a:effectLst/>
          </c:spPr>
          <c:invertIfNegative val="0"/>
          <c:dLbls>
            <c:spPr>
              <a:noFill/>
              <a:ln>
                <a:noFill/>
              </a:ln>
              <a:effectLst/>
            </c:spPr>
            <c:txPr>
              <a:bodyPr rot="0" spcFirstLastPara="0" vertOverflow="ellipsis" vert="horz" wrap="square" lIns="38100" tIns="19050" rIns="38100" bIns="19050" anchor="b"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[3蝴蝶图.xlsx]全国!$D$102:$D$111</c:f>
              <c:strCache>
                <c:ptCount val="10"/>
                <c:pt idx="0">
                  <c:v>江苏省</c:v>
                </c:pt>
                <c:pt idx="1">
                  <c:v>广东省</c:v>
                </c:pt>
                <c:pt idx="2">
                  <c:v>浙江省</c:v>
                </c:pt>
                <c:pt idx="3">
                  <c:v>北京市</c:v>
                </c:pt>
                <c:pt idx="4">
                  <c:v>上海市</c:v>
                </c:pt>
                <c:pt idx="5">
                  <c:v>山东省</c:v>
                </c:pt>
                <c:pt idx="6">
                  <c:v>天津市</c:v>
                </c:pt>
                <c:pt idx="7">
                  <c:v>福建省</c:v>
                </c:pt>
                <c:pt idx="8">
                  <c:v>湖北省</c:v>
                </c:pt>
                <c:pt idx="9">
                  <c:v>辽宁省</c:v>
                </c:pt>
              </c:strCache>
            </c:strRef>
          </c:cat>
          <c:val>
            <c:numRef>
              <c:f>[3蝴蝶图.xlsx]全国!$F$102:$F$111</c:f>
              <c:numCache>
                <c:formatCode>General</c:formatCode>
                <c:ptCount val="10"/>
                <c:pt idx="0">
                  <c:v>1684</c:v>
                </c:pt>
                <c:pt idx="1">
                  <c:v>1127</c:v>
                </c:pt>
                <c:pt idx="2">
                  <c:v>965</c:v>
                </c:pt>
                <c:pt idx="3">
                  <c:v>793</c:v>
                </c:pt>
                <c:pt idx="4">
                  <c:v>758</c:v>
                </c:pt>
                <c:pt idx="5">
                  <c:v>715</c:v>
                </c:pt>
                <c:pt idx="6">
                  <c:v>530</c:v>
                </c:pt>
                <c:pt idx="7">
                  <c:v>484</c:v>
                </c:pt>
                <c:pt idx="8">
                  <c:v>287</c:v>
                </c:pt>
                <c:pt idx="9">
                  <c:v>300</c:v>
                </c:pt>
              </c:numCache>
            </c:numRef>
          </c:val>
        </c:ser>
        <c:ser>
          <c:idx val="1"/>
          <c:order val="1"/>
          <c:tx>
            <c:strRef>
              <c:f>[3蝴蝶图.xlsx]全国!$G$101</c:f>
              <c:strCache>
                <c:ptCount val="1"/>
                <c:pt idx="0">
                  <c:v>专利申请量</c:v>
                </c:pt>
              </c:strCache>
            </c:strRef>
          </c:tx>
          <c:spPr>
            <a:solidFill>
              <a:srgbClr val="5190AF"/>
            </a:solidFill>
            <a:ln>
              <a:noFill/>
            </a:ln>
            <a:effectLst/>
          </c:spPr>
          <c:invertIfNegative val="0"/>
          <c:dLbls>
            <c:dLbl>
              <c:idx val="0"/>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ysClr val="windowText" lastClr="000000"/>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[3蝴蝶图.xlsx]全国!$D$102:$D$111</c:f>
              <c:strCache>
                <c:ptCount val="10"/>
                <c:pt idx="0">
                  <c:v>江苏省</c:v>
                </c:pt>
                <c:pt idx="1">
                  <c:v>广东省</c:v>
                </c:pt>
                <c:pt idx="2">
                  <c:v>浙江省</c:v>
                </c:pt>
                <c:pt idx="3">
                  <c:v>北京市</c:v>
                </c:pt>
                <c:pt idx="4">
                  <c:v>上海市</c:v>
                </c:pt>
                <c:pt idx="5">
                  <c:v>山东省</c:v>
                </c:pt>
                <c:pt idx="6">
                  <c:v>天津市</c:v>
                </c:pt>
                <c:pt idx="7">
                  <c:v>福建省</c:v>
                </c:pt>
                <c:pt idx="8">
                  <c:v>湖北省</c:v>
                </c:pt>
                <c:pt idx="9">
                  <c:v>辽宁省</c:v>
                </c:pt>
              </c:strCache>
            </c:strRef>
          </c:cat>
          <c:val>
            <c:numRef>
              <c:f>[3蝴蝶图.xlsx]全国!$G$102:$G$111</c:f>
              <c:numCache>
                <c:formatCode>General</c:formatCode>
                <c:ptCount val="10"/>
                <c:pt idx="0">
                  <c:v>-2440</c:v>
                </c:pt>
                <c:pt idx="1">
                  <c:v>-1760</c:v>
                </c:pt>
                <c:pt idx="2">
                  <c:v>-1496</c:v>
                </c:pt>
                <c:pt idx="3">
                  <c:v>-1409</c:v>
                </c:pt>
                <c:pt idx="4">
                  <c:v>-1163</c:v>
                </c:pt>
                <c:pt idx="5">
                  <c:v>-994</c:v>
                </c:pt>
                <c:pt idx="6">
                  <c:v>-777</c:v>
                </c:pt>
                <c:pt idx="7">
                  <c:v>-640</c:v>
                </c:pt>
                <c:pt idx="8">
                  <c:v>-508</c:v>
                </c:pt>
                <c:pt idx="9">
                  <c:v>-461</c:v>
                </c:pt>
              </c:numCache>
            </c:numRef>
          </c:val>
          <c:extLst>
            <c:ext xmlns:c15="http://schemas.microsoft.com/office/drawing/2012/chart" uri="{02D57815-91ED-43cb-92C2-25804820EDAC}">
              <c15:datalabelsRange>
                <c15:f>全国!$E$102:$E$111</c15:f>
                <c15:dlblRangeCache>
                  <c:ptCount val="10"/>
                  <c:pt idx="0">
                    <c:v>2440</c:v>
                  </c:pt>
                  <c:pt idx="1">
                    <c:v>1760</c:v>
                  </c:pt>
                  <c:pt idx="2">
                    <c:v>1496</c:v>
                  </c:pt>
                  <c:pt idx="3">
                    <c:v>1409</c:v>
                  </c:pt>
                  <c:pt idx="4">
                    <c:v>1163</c:v>
                  </c:pt>
                  <c:pt idx="5">
                    <c:v>994</c:v>
                  </c:pt>
                  <c:pt idx="6">
                    <c:v>777</c:v>
                  </c:pt>
                  <c:pt idx="7">
                    <c:v>640</c:v>
                  </c:pt>
                  <c:pt idx="8">
                    <c:v>508</c:v>
                  </c:pt>
                  <c:pt idx="9">
                    <c:v>461</c:v>
                  </c:pt>
                </c15:dlblRangeCache>
              </c15:datalabelsRange>
            </c:ext>
          </c:extLst>
        </c:ser>
        <c:dLbls>
          <c:showLegendKey val="0"/>
          <c:showVal val="1"/>
          <c:showCatName val="0"/>
          <c:showSerName val="0"/>
          <c:showPercent val="0"/>
          <c:showBubbleSize val="0"/>
        </c:dLbls>
        <c:gapWidth val="128"/>
        <c:overlap val="100"/>
        <c:axId val="543150360"/>
        <c:axId val="545351698"/>
      </c:barChart>
      <c:catAx>
        <c:axId val="543150360"/>
        <c:scaling>
          <c:orientation val="maxMin"/>
        </c:scaling>
        <c:delete val="0"/>
        <c:axPos val="l"/>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5351698"/>
        <c:crosses val="autoZero"/>
        <c:auto val="1"/>
        <c:lblAlgn val="ctr"/>
        <c:lblOffset val="100"/>
        <c:noMultiLvlLbl val="0"/>
      </c:catAx>
      <c:valAx>
        <c:axId val="545351698"/>
        <c:scaling>
          <c:orientation val="minMax"/>
        </c:scaling>
        <c:delete val="1"/>
        <c:axPos val="t"/>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5431503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Entry>
      <c:layout>
        <c:manualLayout>
          <c:xMode val="edge"/>
          <c:yMode val="edge"/>
          <c:x val="0.650304136253041"/>
          <c:y val="0.929101562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795ffadf-86f1-400e-9490-82b943bbda26}"/>
      </c:ext>
    </c:extLst>
  </c:chart>
  <c:spPr>
    <a:solidFill>
      <a:schemeClr val="bg1"/>
    </a:solidFill>
    <a:ln w="9525" cap="flat" cmpd="sng" algn="ctr">
      <a:noFill/>
      <a:round/>
    </a:ln>
    <a:effectLst/>
  </c:spPr>
  <c:txPr>
    <a:bodyPr/>
    <a:lstStyle/>
    <a:p>
      <a:pPr>
        <a:defRPr lang="zh-CN" sz="900" b="0">
          <a:solidFill>
            <a:sysClr val="windowText" lastClr="000000"/>
          </a:solidFill>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664622871046229"/>
          <c:y val="0.005859375"/>
          <c:w val="0.301070559610706"/>
          <c:h val="0.930078125"/>
        </c:manualLayout>
      </c:layout>
      <c:barChart>
        <c:barDir val="bar"/>
        <c:grouping val="clustered"/>
        <c:varyColors val="0"/>
        <c:ser>
          <c:idx val="0"/>
          <c:order val="0"/>
          <c:tx>
            <c:strRef>
              <c:f>[3蝴蝶图.xlsx]全国!$F$101</c:f>
              <c:strCache>
                <c:ptCount val="1"/>
                <c:pt idx="0">
                  <c:v>专利授权量</c:v>
                </c:pt>
              </c:strCache>
            </c:strRef>
          </c:tx>
          <c:spPr>
            <a:solidFill>
              <a:srgbClr val="A3C6D5"/>
            </a:solidFill>
            <a:ln>
              <a:noFill/>
            </a:ln>
            <a:effectLst/>
          </c:spPr>
          <c:invertIfNegative val="0"/>
          <c:dLbls>
            <c:spPr>
              <a:noFill/>
              <a:ln>
                <a:noFill/>
              </a:ln>
              <a:effectLst/>
            </c:spPr>
            <c:txPr>
              <a:bodyPr rot="0" spcFirstLastPara="0" vertOverflow="ellipsis" vert="horz" wrap="square" lIns="38100" tIns="19050" rIns="38100" bIns="19050" anchor="b" anchorCtr="1"/>
              <a:lstStyle/>
              <a:p>
                <a:pPr>
                  <a:defRPr lang="zh-CN" sz="105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[3蝴蝶图.xlsx]全国!$D$102:$D$111</c:f>
              <c:strCache>
                <c:ptCount val="10"/>
                <c:pt idx="0">
                  <c:v>广州市</c:v>
                </c:pt>
                <c:pt idx="1">
                  <c:v>中山市</c:v>
                </c:pt>
                <c:pt idx="2">
                  <c:v>深圳市</c:v>
                </c:pt>
                <c:pt idx="3">
                  <c:v>阳江市</c:v>
                </c:pt>
                <c:pt idx="4">
                  <c:v>湛江市</c:v>
                </c:pt>
                <c:pt idx="5">
                  <c:v>珠海市</c:v>
                </c:pt>
                <c:pt idx="6">
                  <c:v>佛山市</c:v>
                </c:pt>
                <c:pt idx="7">
                  <c:v>汕尾市</c:v>
                </c:pt>
                <c:pt idx="8">
                  <c:v>东莞市</c:v>
                </c:pt>
                <c:pt idx="9">
                  <c:v>汕头市</c:v>
                </c:pt>
              </c:strCache>
            </c:strRef>
          </c:cat>
          <c:val>
            <c:numRef>
              <c:f>[3蝴蝶图.xlsx]全国!$F$102:$F$111</c:f>
              <c:numCache>
                <c:formatCode>General</c:formatCode>
                <c:ptCount val="10"/>
                <c:pt idx="0">
                  <c:v>414</c:v>
                </c:pt>
                <c:pt idx="1">
                  <c:v>200</c:v>
                </c:pt>
                <c:pt idx="2">
                  <c:v>163</c:v>
                </c:pt>
                <c:pt idx="3">
                  <c:v>90</c:v>
                </c:pt>
                <c:pt idx="4">
                  <c:v>84</c:v>
                </c:pt>
                <c:pt idx="5">
                  <c:v>65</c:v>
                </c:pt>
                <c:pt idx="6">
                  <c:v>51</c:v>
                </c:pt>
                <c:pt idx="7">
                  <c:v>31</c:v>
                </c:pt>
                <c:pt idx="8">
                  <c:v>37</c:v>
                </c:pt>
                <c:pt idx="9">
                  <c:v>13</c:v>
                </c:pt>
              </c:numCache>
            </c:numRef>
          </c:val>
        </c:ser>
        <c:ser>
          <c:idx val="1"/>
          <c:order val="1"/>
          <c:tx>
            <c:strRef>
              <c:f>[3蝴蝶图.xlsx]全国!$G$101</c:f>
              <c:strCache>
                <c:ptCount val="1"/>
                <c:pt idx="0">
                  <c:v>专利申请量</c:v>
                </c:pt>
              </c:strCache>
            </c:strRef>
          </c:tx>
          <c:spPr>
            <a:solidFill>
              <a:srgbClr val="5190AF"/>
            </a:solidFill>
            <a:ln>
              <a:noFill/>
            </a:ln>
            <a:effectLst/>
          </c:spPr>
          <c:invertIfNegative val="0"/>
          <c:dLbls>
            <c:dLbl>
              <c:idx val="0"/>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1"/>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2"/>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4"/>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5"/>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6"/>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7"/>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8"/>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dLblPos val="outEnd"/>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1"/>
              <a:lstStyle/>
              <a:p>
                <a:pPr>
                  <a:defRPr lang="zh-CN" sz="1050" b="0" i="0" u="none" strike="noStrike" kern="1200" baseline="0">
                    <a:solidFill>
                      <a:sysClr val="windowText" lastClr="000000"/>
                    </a:solidFill>
                    <a:latin typeface="+mn-lt"/>
                    <a:ea typeface="+mn-ea"/>
                    <a:cs typeface="+mn-c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1"/>
                <c15:leaderLines>
                  <c:spPr>
                    <a:ln w="9525" cap="flat" cmpd="sng" algn="ctr">
                      <a:solidFill>
                        <a:schemeClr val="tx1">
                          <a:lumMod val="35000"/>
                          <a:lumOff val="65000"/>
                        </a:schemeClr>
                      </a:solidFill>
                      <a:round/>
                    </a:ln>
                    <a:effectLst/>
                  </c:spPr>
                </c15:leaderLines>
              </c:ext>
            </c:extLst>
          </c:dLbls>
          <c:cat>
            <c:strRef>
              <c:f>[3蝴蝶图.xlsx]全国!$D$102:$D$111</c:f>
              <c:strCache>
                <c:ptCount val="10"/>
                <c:pt idx="0">
                  <c:v>广州市</c:v>
                </c:pt>
                <c:pt idx="1">
                  <c:v>中山市</c:v>
                </c:pt>
                <c:pt idx="2">
                  <c:v>深圳市</c:v>
                </c:pt>
                <c:pt idx="3">
                  <c:v>阳江市</c:v>
                </c:pt>
                <c:pt idx="4">
                  <c:v>湛江市</c:v>
                </c:pt>
                <c:pt idx="5">
                  <c:v>珠海市</c:v>
                </c:pt>
                <c:pt idx="6">
                  <c:v>佛山市</c:v>
                </c:pt>
                <c:pt idx="7">
                  <c:v>汕尾市</c:v>
                </c:pt>
                <c:pt idx="8">
                  <c:v>东莞市</c:v>
                </c:pt>
                <c:pt idx="9">
                  <c:v>汕头市</c:v>
                </c:pt>
              </c:strCache>
            </c:strRef>
          </c:cat>
          <c:val>
            <c:numRef>
              <c:f>[3蝴蝶图.xlsx]全国!$G$102:$G$111</c:f>
              <c:numCache>
                <c:formatCode>General</c:formatCode>
                <c:ptCount val="10"/>
                <c:pt idx="0">
                  <c:v>-768</c:v>
                </c:pt>
                <c:pt idx="1">
                  <c:v>-285</c:v>
                </c:pt>
                <c:pt idx="2">
                  <c:v>-240</c:v>
                </c:pt>
                <c:pt idx="3">
                  <c:v>-125</c:v>
                </c:pt>
                <c:pt idx="4">
                  <c:v>-105</c:v>
                </c:pt>
                <c:pt idx="5">
                  <c:v>-98</c:v>
                </c:pt>
                <c:pt idx="6">
                  <c:v>-65</c:v>
                </c:pt>
                <c:pt idx="7">
                  <c:v>-48</c:v>
                </c:pt>
                <c:pt idx="8">
                  <c:v>-45</c:v>
                </c:pt>
                <c:pt idx="9">
                  <c:v>-43</c:v>
                </c:pt>
              </c:numCache>
            </c:numRef>
          </c:val>
          <c:extLst>
            <c:ext xmlns:c15="http://schemas.microsoft.com/office/drawing/2012/chart" uri="{02D57815-91ED-43cb-92C2-25804820EDAC}">
              <c15:datalabelsRange>
                <c15:f>全国!$E$102:$E$111</c15:f>
                <c15:dlblRangeCache>
                  <c:ptCount val="10"/>
                  <c:pt idx="0">
                    <c:v>768</c:v>
                  </c:pt>
                  <c:pt idx="1">
                    <c:v>285</c:v>
                  </c:pt>
                  <c:pt idx="2">
                    <c:v>240</c:v>
                  </c:pt>
                  <c:pt idx="3">
                    <c:v>125</c:v>
                  </c:pt>
                  <c:pt idx="4">
                    <c:v>105</c:v>
                  </c:pt>
                  <c:pt idx="5">
                    <c:v>98</c:v>
                  </c:pt>
                  <c:pt idx="6">
                    <c:v>65</c:v>
                  </c:pt>
                  <c:pt idx="7">
                    <c:v>48</c:v>
                  </c:pt>
                  <c:pt idx="8">
                    <c:v>45</c:v>
                  </c:pt>
                  <c:pt idx="9">
                    <c:v>43</c:v>
                  </c:pt>
                </c15:dlblRangeCache>
              </c15:datalabelsRange>
            </c:ext>
          </c:extLst>
        </c:ser>
        <c:dLbls>
          <c:showLegendKey val="0"/>
          <c:showVal val="1"/>
          <c:showCatName val="0"/>
          <c:showSerName val="0"/>
          <c:showPercent val="0"/>
          <c:showBubbleSize val="0"/>
        </c:dLbls>
        <c:gapWidth val="128"/>
        <c:overlap val="100"/>
        <c:axId val="543150360"/>
        <c:axId val="545351698"/>
      </c:barChart>
      <c:catAx>
        <c:axId val="543150360"/>
        <c:scaling>
          <c:orientation val="maxMin"/>
        </c:scaling>
        <c:delete val="0"/>
        <c:axPos val="l"/>
        <c:majorTickMark val="none"/>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p>
        </c:txPr>
        <c:crossAx val="545351698"/>
        <c:crosses val="autoZero"/>
        <c:auto val="1"/>
        <c:lblAlgn val="ctr"/>
        <c:lblOffset val="100"/>
        <c:noMultiLvlLbl val="0"/>
      </c:catAx>
      <c:valAx>
        <c:axId val="545351698"/>
        <c:scaling>
          <c:orientation val="minMax"/>
        </c:scaling>
        <c:delete val="1"/>
        <c:axPos val="t"/>
        <c:numFmt formatCode="General" sourceLinked="1"/>
        <c:majorTickMark val="none"/>
        <c:minorTickMark val="none"/>
        <c:tickLblPos val="nextTo"/>
        <c:txPr>
          <a:bodyPr rot="-6000000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p>
        </c:txPr>
        <c:crossAx val="543150360"/>
        <c:crosses val="autoZero"/>
        <c:crossBetween val="between"/>
      </c:valAx>
      <c:spPr>
        <a:noFill/>
        <a:ln>
          <a:noFill/>
        </a:ln>
        <a:effectLst/>
      </c:spPr>
    </c:plotArea>
    <c:legend>
      <c:legendPos val="b"/>
      <c:legendEntry>
        <c:idx val="0"/>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p>
        </c:txPr>
      </c:legendEntry>
      <c:legendEntry>
        <c:idx val="1"/>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p>
        </c:txPr>
      </c:legendEntry>
      <c:layout>
        <c:manualLayout>
          <c:xMode val="edge"/>
          <c:yMode val="edge"/>
          <c:x val="0.665815085158151"/>
          <c:y val="0.9181640625"/>
        </c:manualLayout>
      </c:layout>
      <c:overlay val="0"/>
      <c:spPr>
        <a:noFill/>
        <a:ln>
          <a:noFill/>
        </a:ln>
        <a:effectLst/>
      </c:spPr>
      <c:txPr>
        <a:bodyPr rot="0" spcFirstLastPara="0" vertOverflow="ellipsis" vert="horz" wrap="square" anchor="ctr" anchorCtr="1"/>
        <a:lstStyle/>
        <a:p>
          <a:pPr>
            <a:defRPr lang="zh-CN" sz="1050" b="0" i="0" u="none" strike="noStrike" kern="1200" baseline="0">
              <a:solidFill>
                <a:sysClr val="windowText" lastClr="000000"/>
              </a:solidFill>
              <a:latin typeface="+mn-lt"/>
              <a:ea typeface="+mn-ea"/>
              <a:cs typeface="+mn-cs"/>
            </a:defRPr>
          </a:pPr>
        </a:p>
      </c:txPr>
    </c:legend>
    <c:plotVisOnly val="1"/>
    <c:dispBlanksAs val="gap"/>
    <c:showDLblsOverMax val="0"/>
    <c:extLst>
      <c:ext uri="{0b15fc19-7d7d-44ad-8c2d-2c3a37ce22c3}">
        <chartProps xmlns="https://web.wps.cn/et/2018/main" chartId="{5e270dd5-7e4c-492c-9d1f-749564e1db8d}"/>
      </c:ext>
    </c:extLst>
  </c:chart>
  <c:spPr>
    <a:solidFill>
      <a:schemeClr val="bg1"/>
    </a:solidFill>
    <a:ln w="9525" cap="flat" cmpd="sng" algn="ctr">
      <a:noFill/>
      <a:round/>
    </a:ln>
    <a:effectLst/>
  </c:spPr>
  <c:txPr>
    <a:bodyPr/>
    <a:lstStyle/>
    <a:p>
      <a:pPr>
        <a:defRPr lang="zh-CN" sz="1050" b="0">
          <a:solidFill>
            <a:sysClr val="windowText" lastClr="000000"/>
          </a:solidFill>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'[3简报数据图表.xlsx]1'!$C$146</c:f>
              <c:strCache>
                <c:ptCount val="1"/>
                <c:pt idx="0">
                  <c:v>数量</c:v>
                </c:pt>
              </c:strCache>
            </c:strRef>
          </c:tx>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'[3简报数据图表.xlsx]1'!$B$147:$B$150</c:f>
              <c:strCache>
                <c:ptCount val="4"/>
                <c:pt idx="0">
                  <c:v>企事业单位</c:v>
                </c:pt>
                <c:pt idx="1">
                  <c:v>大专院校</c:v>
                </c:pt>
                <c:pt idx="2">
                  <c:v>科研院所</c:v>
                </c:pt>
                <c:pt idx="3">
                  <c:v>机关团体</c:v>
                </c:pt>
              </c:strCache>
            </c:strRef>
          </c:cat>
          <c:val>
            <c:numRef>
              <c:f>'[3简报数据图表.xlsx]1'!$C$147:$C$150</c:f>
              <c:numCache>
                <c:formatCode>General</c:formatCode>
                <c:ptCount val="4"/>
                <c:pt idx="0">
                  <c:v>8763</c:v>
                </c:pt>
                <c:pt idx="1">
                  <c:v>2735</c:v>
                </c:pt>
                <c:pt idx="2">
                  <c:v>474</c:v>
                </c:pt>
                <c:pt idx="3">
                  <c:v>103</c:v>
                </c:pt>
              </c:numCache>
            </c:numRef>
          </c:val>
        </c:ser>
        <c:dLbls>
          <c:showLegendKey val="0"/>
          <c:showVal val="1"/>
          <c:showCatName val="0"/>
          <c:showSerName val="0"/>
          <c:showPercent val="0"/>
          <c:showBubbleSize val="0"/>
        </c:dLbls>
        <c:gapWidth val="500"/>
        <c:overlap val="-50"/>
        <c:axId val="393147770"/>
        <c:axId val="868835098"/>
      </c:barChart>
      <c:catAx>
        <c:axId val="393147770"/>
        <c:scaling>
          <c:orientation val="minMax"/>
        </c:scaling>
        <c:delete val="0"/>
        <c:axPos val="b"/>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68835098"/>
        <c:crosses val="autoZero"/>
        <c:auto val="1"/>
        <c:lblAlgn val="ctr"/>
        <c:lblOffset val="100"/>
        <c:noMultiLvlLbl val="0"/>
      </c:catAx>
      <c:valAx>
        <c:axId val="868835098"/>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393147770"/>
        <c:crosses val="autoZero"/>
        <c:crossBetween val="between"/>
      </c:valAx>
      <c:spPr>
        <a:noFill/>
        <a:ln>
          <a:noFill/>
        </a:ln>
        <a:effectLst/>
      </c:spPr>
    </c:plotArea>
    <c:plotVisOnly val="1"/>
    <c:dispBlanksAs val="gap"/>
    <c:showDLblsOverMax val="0"/>
    <c:extLst>
      <c:ext uri="{0b15fc19-7d7d-44ad-8c2d-2c3a37ce22c3}">
        <chartProps xmlns="https://web.wps.cn/et/2018/main" chartId="{07b6017f-4b6a-4fd9-9baa-74e56b9585f1}"/>
      </c:ext>
    </c:extLst>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gradFill>
              <a:gsLst>
                <a:gs pos="100000">
                  <a:schemeClr val="accent1"/>
                </a:gs>
                <a:gs pos="0">
                  <a:schemeClr val="accent1">
                    <a:hueOff val="-1670000"/>
                  </a:schemeClr>
                </a:gs>
              </a:gsLst>
              <a:lin ang="10800000" scaled="0"/>
            </a:gradFill>
            <a:ln>
              <a:gradFill>
                <a:gsLst>
                  <a:gs pos="100000">
                    <a:schemeClr val="accent1">
                      <a:lumMod val="75000"/>
                    </a:schemeClr>
                  </a:gs>
                  <a:gs pos="0">
                    <a:schemeClr val="accent1">
                      <a:lumMod val="75000"/>
                      <a:hueOff val="-1670000"/>
                    </a:schemeClr>
                  </a:gs>
                </a:gsLst>
                <a:lin ang="1080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'[3简报数据图表.xlsx]1'!$B$135:$B$144</c:f>
              <c:strCache>
                <c:ptCount val="10"/>
                <c:pt idx="0">
                  <c:v>华能(浙江)能源开发有限公司清洁能源分公司</c:v>
                </c:pt>
                <c:pt idx="1">
                  <c:v>浙江大学</c:v>
                </c:pt>
                <c:pt idx="2">
                  <c:v>中国长江三峡集团有限公司</c:v>
                </c:pt>
                <c:pt idx="3">
                  <c:v>上海勘测设计研究院有限公司</c:v>
                </c:pt>
                <c:pt idx="4">
                  <c:v>中国能源建设集团广东省电力设计研究院有限公司</c:v>
                </c:pt>
                <c:pt idx="5">
                  <c:v>大连理工大学</c:v>
                </c:pt>
                <c:pt idx="6">
                  <c:v>中交第三航务工程局有限公司</c:v>
                </c:pt>
                <c:pt idx="7">
                  <c:v>天津大学</c:v>
                </c:pt>
                <c:pt idx="8">
                  <c:v>中国华能集团清洁能源技术研究院有限公司</c:v>
                </c:pt>
                <c:pt idx="9">
                  <c:v>中国电建集团华东勘测设计研究院有限公司</c:v>
                </c:pt>
              </c:strCache>
            </c:strRef>
          </c:cat>
          <c:val>
            <c:numRef>
              <c:f>'[3简报数据图表.xlsx]1'!$C$135:$C$144</c:f>
              <c:numCache>
                <c:formatCode>General</c:formatCode>
                <c:ptCount val="10"/>
                <c:pt idx="0">
                  <c:v>117</c:v>
                </c:pt>
                <c:pt idx="1">
                  <c:v>121</c:v>
                </c:pt>
                <c:pt idx="2">
                  <c:v>130</c:v>
                </c:pt>
                <c:pt idx="3">
                  <c:v>148</c:v>
                </c:pt>
                <c:pt idx="4">
                  <c:v>153</c:v>
                </c:pt>
                <c:pt idx="5">
                  <c:v>154</c:v>
                </c:pt>
                <c:pt idx="6">
                  <c:v>159</c:v>
                </c:pt>
                <c:pt idx="7">
                  <c:v>279</c:v>
                </c:pt>
                <c:pt idx="8">
                  <c:v>375</c:v>
                </c:pt>
                <c:pt idx="9">
                  <c:v>429</c:v>
                </c:pt>
              </c:numCache>
            </c:numRef>
          </c:val>
        </c:ser>
        <c:dLbls>
          <c:showLegendKey val="0"/>
          <c:showVal val="1"/>
          <c:showCatName val="0"/>
          <c:showSerName val="0"/>
          <c:showPercent val="0"/>
          <c:showBubbleSize val="0"/>
        </c:dLbls>
        <c:gapWidth val="140"/>
        <c:overlap val="-40"/>
        <c:axId val="802141563"/>
        <c:axId val="961496413"/>
      </c:barChart>
      <c:catAx>
        <c:axId val="802141563"/>
        <c:scaling>
          <c:orientation val="minMax"/>
        </c:scaling>
        <c:delete val="0"/>
        <c:axPos val="l"/>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0"/>
          <a:lstStyle/>
          <a:p>
            <a:pPr>
              <a:defRPr lang="zh-CN" sz="900" b="0" i="0" u="none" strike="noStrike" kern="1200" baseline="0">
                <a:solidFill>
                  <a:sysClr val="windowText" lastClr="000000"/>
                </a:solidFill>
                <a:latin typeface="+mn-lt"/>
                <a:ea typeface="+mn-ea"/>
                <a:cs typeface="+mn-cs"/>
              </a:defRPr>
            </a:pPr>
          </a:p>
        </c:txPr>
        <c:crossAx val="961496413"/>
        <c:crosses val="autoZero"/>
        <c:auto val="1"/>
        <c:lblAlgn val="ctr"/>
        <c:lblOffset val="100"/>
        <c:noMultiLvlLbl val="0"/>
      </c:catAx>
      <c:valAx>
        <c:axId val="961496413"/>
        <c:scaling>
          <c:orientation val="minMax"/>
        </c:scaling>
        <c:delete val="0"/>
        <c:axPos val="b"/>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802141563"/>
        <c:crosses val="autoZero"/>
        <c:crossBetween val="between"/>
      </c:valAx>
      <c:spPr>
        <a:noFill/>
        <a:ln>
          <a:noFill/>
        </a:ln>
        <a:effectLst/>
      </c:spPr>
    </c:plotArea>
    <c:plotVisOnly val="1"/>
    <c:dispBlanksAs val="gap"/>
    <c:showDLblsOverMax val="0"/>
    <c:extLst>
      <c:ext uri="{0b15fc19-7d7d-44ad-8c2d-2c3a37ce22c3}">
        <chartProps xmlns="https://web.wps.cn/et/2018/main" chartId="{96d5f9cd-afe1-4981-9a30-662d33804d27}"/>
      </c:ext>
    </c:extLst>
  </c:chart>
  <c:spPr>
    <a:solidFill>
      <a:schemeClr val="bg1"/>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manualLayout>
          <c:layoutTarget val="inner"/>
          <c:xMode val="edge"/>
          <c:yMode val="edge"/>
          <c:x val="0.240522276944222"/>
          <c:y val="0.016096307317733"/>
          <c:w val="0.756041690528004"/>
          <c:h val="0.874611118625727"/>
        </c:manualLayout>
      </c:layout>
      <c:bubbleChart>
        <c:varyColors val="0"/>
        <c:ser>
          <c:idx val="0"/>
          <c:order val="0"/>
          <c:tx>
            <c:strRef>
              <c:f>'[3简报数据图表.xlsx]1气泡图'!$B$1</c:f>
              <c:strCache>
                <c:ptCount val="1"/>
                <c:pt idx="0">
                  <c:v>E02D27</c:v>
                </c:pt>
              </c:strCache>
            </c:strRef>
          </c:tx>
          <c:spPr>
            <a:gradFill>
              <a:gsLst>
                <a:gs pos="100000">
                  <a:schemeClr val="accent1">
                    <a:shade val="40769"/>
                  </a:schemeClr>
                </a:gs>
                <a:gs pos="0">
                  <a:schemeClr val="accent1">
                    <a:shade val="40769"/>
                    <a:hueOff val="-1670000"/>
                  </a:schemeClr>
                </a:gs>
              </a:gsLst>
              <a:lin ang="2700000" scaled="0"/>
            </a:gradFill>
            <a:ln w="9525" cap="rnd">
              <a:gradFill>
                <a:gsLst>
                  <a:gs pos="100000">
                    <a:schemeClr val="accent1">
                      <a:shade val="40769"/>
                      <a:lumMod val="75000"/>
                    </a:schemeClr>
                  </a:gs>
                  <a:gs pos="0">
                    <a:schemeClr val="accent1">
                      <a:shade val="40769"/>
                      <a:lumMod val="75000"/>
                      <a:hueOff val="-1670000"/>
                    </a:schemeClr>
                  </a:gs>
                </a:gsLst>
                <a:lin ang="2700000" scaled="0"/>
              </a:gradFill>
              <a:round/>
            </a:ln>
            <a:effectLst/>
          </c:spPr>
          <c:invertIfNegative val="0"/>
          <c:dLbls>
            <c:delete val="1"/>
          </c:dLbls>
          <c:xVal>
            <c:numRef>
              <c:f>'[3简报数据图表.xlsx]1气泡图'!$D$16:$D$25</c:f>
              <c:numCache>
                <c:formatCode>General</c:formatCode>
                <c:ptCount val="10"/>
                <c:pt idx="0">
                  <c:v>1</c:v>
                </c:pt>
                <c:pt idx="1">
                  <c:v>1</c:v>
                </c:pt>
                <c:pt idx="2">
                  <c:v>1</c:v>
                </c:pt>
                <c:pt idx="3">
                  <c:v>1</c:v>
                </c:pt>
                <c:pt idx="4">
                  <c:v>1</c:v>
                </c:pt>
                <c:pt idx="5">
                  <c:v>1</c:v>
                </c:pt>
                <c:pt idx="6">
                  <c:v>1</c:v>
                </c:pt>
                <c:pt idx="7">
                  <c:v>1</c:v>
                </c:pt>
                <c:pt idx="8">
                  <c:v>1</c:v>
                </c:pt>
                <c:pt idx="9">
                  <c:v>1</c:v>
                </c:pt>
              </c:numCache>
            </c:numRef>
          </c:xVal>
          <c:yVal>
            <c:numRef>
              <c:f>'[3简报数据图表.xlsx]1气泡图'!$D$16:$N$16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'[3简报数据图表.xlsx]1气泡图'!$B$2:$B$11</c:f>
              <c:numCache>
                <c:formatCode>General</c:formatCode>
                <c:ptCount val="10"/>
                <c:pt idx="0">
                  <c:v>176</c:v>
                </c:pt>
                <c:pt idx="1">
                  <c:v>157</c:v>
                </c:pt>
                <c:pt idx="2">
                  <c:v>182</c:v>
                </c:pt>
                <c:pt idx="3">
                  <c:v>84</c:v>
                </c:pt>
                <c:pt idx="4">
                  <c:v>25</c:v>
                </c:pt>
                <c:pt idx="5">
                  <c:v>45</c:v>
                </c:pt>
                <c:pt idx="6">
                  <c:v>66</c:v>
                </c:pt>
                <c:pt idx="7">
                  <c:v>71</c:v>
                </c:pt>
                <c:pt idx="8">
                  <c:v>44</c:v>
                </c:pt>
                <c:pt idx="9">
                  <c:v>51</c:v>
                </c:pt>
              </c:numCache>
            </c:numRef>
          </c:bubbleSize>
          <c:bubble3D val="0"/>
        </c:ser>
        <c:ser>
          <c:idx val="1"/>
          <c:order val="1"/>
          <c:tx>
            <c:strRef>
              <c:f>'[3简报数据图表.xlsx]1气泡图'!$C$1</c:f>
              <c:strCache>
                <c:ptCount val="1"/>
                <c:pt idx="0">
                  <c:v>F03D13</c:v>
                </c:pt>
              </c:strCache>
            </c:strRef>
          </c:tx>
          <c:spPr>
            <a:gradFill>
              <a:gsLst>
                <a:gs pos="100000">
                  <a:schemeClr val="accent1">
                    <a:shade val="51538"/>
                  </a:schemeClr>
                </a:gs>
                <a:gs pos="0">
                  <a:schemeClr val="accent1">
                    <a:shade val="51538"/>
                    <a:hueOff val="-1670000"/>
                  </a:schemeClr>
                </a:gs>
              </a:gsLst>
              <a:lin ang="2700000" scaled="0"/>
            </a:gradFill>
            <a:ln w="9525" cap="rnd">
              <a:gradFill>
                <a:gsLst>
                  <a:gs pos="100000">
                    <a:schemeClr val="accent1">
                      <a:shade val="51538"/>
                      <a:lumMod val="75000"/>
                    </a:schemeClr>
                  </a:gs>
                  <a:gs pos="0">
                    <a:schemeClr val="accent1">
                      <a:shade val="51538"/>
                      <a:lumMod val="75000"/>
                      <a:hueOff val="-1670000"/>
                    </a:schemeClr>
                  </a:gs>
                </a:gsLst>
                <a:lin ang="2700000" scaled="0"/>
              </a:gradFill>
              <a:round/>
            </a:ln>
            <a:effectLst/>
          </c:spPr>
          <c:invertIfNegative val="0"/>
          <c:dLbls>
            <c:delete val="1"/>
          </c:dLbls>
          <c:xVal>
            <c:numRef>
              <c:f>'[3简报数据图表.xlsx]1气泡图'!$E$16:$E$25</c:f>
              <c:numCache>
                <c:formatCode>General</c:formatCode>
                <c:ptCount val="10"/>
                <c:pt idx="0">
                  <c:v>2</c:v>
                </c:pt>
                <c:pt idx="1">
                  <c:v>2</c:v>
                </c:pt>
                <c:pt idx="2">
                  <c:v>2</c:v>
                </c:pt>
                <c:pt idx="3">
                  <c:v>2</c:v>
                </c:pt>
                <c:pt idx="4">
                  <c:v>2</c:v>
                </c:pt>
                <c:pt idx="5">
                  <c:v>2</c:v>
                </c:pt>
                <c:pt idx="6">
                  <c:v>2</c:v>
                </c:pt>
                <c:pt idx="7">
                  <c:v>2</c:v>
                </c:pt>
                <c:pt idx="8">
                  <c:v>2</c:v>
                </c:pt>
                <c:pt idx="9">
                  <c:v>2</c:v>
                </c:pt>
              </c:numCache>
            </c:numRef>
          </c:xVal>
          <c:yVal>
            <c:numRef>
              <c:f>'[3简报数据图表.xlsx]1气泡图'!$D$17:$N$17</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'[3简报数据图表.xlsx]1气泡图'!$C$2:$C$11</c:f>
              <c:numCache>
                <c:formatCode>General</c:formatCode>
                <c:ptCount val="10"/>
                <c:pt idx="0">
                  <c:v>58</c:v>
                </c:pt>
                <c:pt idx="1">
                  <c:v>83</c:v>
                </c:pt>
                <c:pt idx="2">
                  <c:v>80</c:v>
                </c:pt>
                <c:pt idx="3">
                  <c:v>22</c:v>
                </c:pt>
                <c:pt idx="4">
                  <c:v>61</c:v>
                </c:pt>
                <c:pt idx="5">
                  <c:v>18</c:v>
                </c:pt>
                <c:pt idx="6">
                  <c:v>21</c:v>
                </c:pt>
                <c:pt idx="7">
                  <c:v>33</c:v>
                </c:pt>
                <c:pt idx="8">
                  <c:v>27</c:v>
                </c:pt>
                <c:pt idx="9">
                  <c:v>14</c:v>
                </c:pt>
              </c:numCache>
            </c:numRef>
          </c:bubbleSize>
          <c:bubble3D val="0"/>
        </c:ser>
        <c:ser>
          <c:idx val="2"/>
          <c:order val="2"/>
          <c:tx>
            <c:strRef>
              <c:f>'[3简报数据图表.xlsx]1气泡图'!$D$1</c:f>
              <c:strCache>
                <c:ptCount val="1"/>
                <c:pt idx="0">
                  <c:v>F03D9</c:v>
                </c:pt>
              </c:strCache>
            </c:strRef>
          </c:tx>
          <c:spPr>
            <a:gradFill>
              <a:gsLst>
                <a:gs pos="100000">
                  <a:schemeClr val="accent1">
                    <a:shade val="62308"/>
                  </a:schemeClr>
                </a:gs>
                <a:gs pos="0">
                  <a:schemeClr val="accent1">
                    <a:shade val="62308"/>
                    <a:hueOff val="-1670000"/>
                  </a:schemeClr>
                </a:gs>
              </a:gsLst>
              <a:lin ang="2700000" scaled="0"/>
            </a:gradFill>
            <a:ln w="9525" cap="rnd">
              <a:gradFill>
                <a:gsLst>
                  <a:gs pos="100000">
                    <a:schemeClr val="accent1">
                      <a:shade val="62308"/>
                      <a:lumMod val="75000"/>
                    </a:schemeClr>
                  </a:gs>
                  <a:gs pos="0">
                    <a:schemeClr val="accent1">
                      <a:shade val="62308"/>
                      <a:lumMod val="75000"/>
                      <a:hueOff val="-1670000"/>
                    </a:schemeClr>
                  </a:gs>
                </a:gsLst>
                <a:lin ang="2700000" scaled="0"/>
              </a:gradFill>
              <a:round/>
            </a:ln>
            <a:effectLst/>
          </c:spPr>
          <c:invertIfNegative val="0"/>
          <c:dLbls>
            <c:delete val="1"/>
          </c:dLbls>
          <c:xVal>
            <c:numRef>
              <c:f>'[3简报数据图表.xlsx]1气泡图'!$F$16:$F$25</c:f>
              <c:numCache>
                <c:formatCode>General</c:formatCode>
                <c:ptCount val="10"/>
                <c:pt idx="0">
                  <c:v>3</c:v>
                </c:pt>
                <c:pt idx="1">
                  <c:v>3</c:v>
                </c:pt>
                <c:pt idx="2">
                  <c:v>3</c:v>
                </c:pt>
                <c:pt idx="3">
                  <c:v>3</c:v>
                </c:pt>
                <c:pt idx="4">
                  <c:v>3</c:v>
                </c:pt>
                <c:pt idx="5">
                  <c:v>3</c:v>
                </c:pt>
                <c:pt idx="6">
                  <c:v>3</c:v>
                </c:pt>
                <c:pt idx="7">
                  <c:v>3</c:v>
                </c:pt>
                <c:pt idx="8">
                  <c:v>3</c:v>
                </c:pt>
                <c:pt idx="9">
                  <c:v>3</c:v>
                </c:pt>
              </c:numCache>
            </c:numRef>
          </c:xVal>
          <c:yVal>
            <c:numRef>
              <c:f>'[3简报数据图表.xlsx]1气泡图'!$D$18:$M$18</c:f>
              <c:numCache>
                <c:formatCode>General</c:formatCode>
                <c:ptCount val="10"/>
                <c:pt idx="0">
                  <c:v>1</c:v>
                </c:pt>
                <c:pt idx="1">
                  <c:v>2</c:v>
                </c:pt>
                <c:pt idx="2">
                  <c:v>3</c:v>
                </c:pt>
                <c:pt idx="3">
                  <c:v>4</c:v>
                </c:pt>
                <c:pt idx="4">
                  <c:v>5</c:v>
                </c:pt>
                <c:pt idx="5">
                  <c:v>6</c:v>
                </c:pt>
                <c:pt idx="6">
                  <c:v>7</c:v>
                </c:pt>
                <c:pt idx="7">
                  <c:v>8</c:v>
                </c:pt>
                <c:pt idx="8">
                  <c:v>9</c:v>
                </c:pt>
                <c:pt idx="9">
                  <c:v>10</c:v>
                </c:pt>
              </c:numCache>
            </c:numRef>
          </c:yVal>
          <c:bubbleSize>
            <c:numRef>
              <c:f>'[3简报数据图表.xlsx]1气泡图'!$D$2:$D$11</c:f>
              <c:numCache>
                <c:formatCode>General</c:formatCode>
                <c:ptCount val="10"/>
                <c:pt idx="0">
                  <c:v>16</c:v>
                </c:pt>
                <c:pt idx="1">
                  <c:v>36</c:v>
                </c:pt>
                <c:pt idx="2">
                  <c:v>23</c:v>
                </c:pt>
                <c:pt idx="3">
                  <c:v>1</c:v>
                </c:pt>
                <c:pt idx="4">
                  <c:v>33</c:v>
                </c:pt>
                <c:pt idx="5">
                  <c:v>4</c:v>
                </c:pt>
                <c:pt idx="6">
                  <c:v>4</c:v>
                </c:pt>
                <c:pt idx="7">
                  <c:v>10</c:v>
                </c:pt>
                <c:pt idx="8">
                  <c:v>9</c:v>
                </c:pt>
                <c:pt idx="9">
                  <c:v>3</c:v>
                </c:pt>
              </c:numCache>
            </c:numRef>
          </c:bubbleSize>
          <c:bubble3D val="0"/>
        </c:ser>
        <c:ser>
          <c:idx val="3"/>
          <c:order val="3"/>
          <c:tx>
            <c:strRef>
              <c:f>'[3简报数据图表.xlsx]1气泡图'!$E$1</c:f>
              <c:strCache>
                <c:ptCount val="1"/>
                <c:pt idx="0">
                  <c:v>B63B35</c:v>
                </c:pt>
              </c:strCache>
            </c:strRef>
          </c:tx>
          <c:spPr>
            <a:gradFill>
              <a:gsLst>
                <a:gs pos="100000">
                  <a:schemeClr val="accent1">
                    <a:shade val="73077"/>
                  </a:schemeClr>
                </a:gs>
                <a:gs pos="0">
                  <a:schemeClr val="accent1">
                    <a:shade val="73077"/>
                    <a:hueOff val="-1670000"/>
                  </a:schemeClr>
                </a:gs>
              </a:gsLst>
              <a:lin ang="2700000" scaled="0"/>
            </a:gradFill>
            <a:ln w="9525" cap="rnd">
              <a:gradFill>
                <a:gsLst>
                  <a:gs pos="100000">
                    <a:schemeClr val="accent1">
                      <a:shade val="73077"/>
                      <a:lumMod val="75000"/>
                    </a:schemeClr>
                  </a:gs>
                  <a:gs pos="0">
                    <a:schemeClr val="accent1">
                      <a:shade val="73077"/>
                      <a:lumMod val="75000"/>
                      <a:hueOff val="-1670000"/>
                    </a:schemeClr>
                  </a:gs>
                </a:gsLst>
                <a:lin ang="2700000" scaled="0"/>
              </a:gradFill>
              <a:round/>
            </a:ln>
            <a:effectLst/>
          </c:spPr>
          <c:invertIfNegative val="0"/>
          <c:dLbls>
            <c:delete val="1"/>
          </c:dLbls>
          <c:xVal>
            <c:numRef>
              <c:f>'[3简报数据图表.xlsx]1气泡图'!$G$16:$G$25</c:f>
              <c:numCache>
                <c:formatCode>General</c:formatCode>
                <c:ptCount val="10"/>
                <c:pt idx="0">
                  <c:v>4</c:v>
                </c:pt>
                <c:pt idx="1">
                  <c:v>4</c:v>
                </c:pt>
                <c:pt idx="2">
                  <c:v>4</c:v>
                </c:pt>
                <c:pt idx="3">
                  <c:v>4</c:v>
                </c:pt>
                <c:pt idx="4">
                  <c:v>4</c:v>
                </c:pt>
                <c:pt idx="5">
                  <c:v>4</c:v>
                </c:pt>
                <c:pt idx="6">
                  <c:v>4</c:v>
                </c:pt>
                <c:pt idx="7">
                  <c:v>4</c:v>
                </c:pt>
                <c:pt idx="8">
                  <c:v>4</c:v>
                </c:pt>
                <c:pt idx="9">
                  <c:v>4</c:v>
                </c:pt>
              </c:numCache>
            </c:numRef>
          </c:xVal>
          <c:yVal>
            <c:numRef>
              <c:f>'[3简报数据图表.xlsx]1气泡图'!$D$19:$N$19</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'[3简报数据图表.xlsx]1气泡图'!$E$2:$E$11</c:f>
              <c:numCache>
                <c:formatCode>General</c:formatCode>
                <c:ptCount val="10"/>
                <c:pt idx="0">
                  <c:v>2</c:v>
                </c:pt>
                <c:pt idx="1">
                  <c:v>41</c:v>
                </c:pt>
                <c:pt idx="2">
                  <c:v>48</c:v>
                </c:pt>
                <c:pt idx="3">
                  <c:v>8</c:v>
                </c:pt>
                <c:pt idx="4">
                  <c:v>25</c:v>
                </c:pt>
                <c:pt idx="5">
                  <c:v>12</c:v>
                </c:pt>
                <c:pt idx="6">
                  <c:v>22</c:v>
                </c:pt>
                <c:pt idx="7">
                  <c:v>12</c:v>
                </c:pt>
                <c:pt idx="8">
                  <c:v>16</c:v>
                </c:pt>
                <c:pt idx="9">
                  <c:v>2</c:v>
                </c:pt>
              </c:numCache>
            </c:numRef>
          </c:bubbleSize>
          <c:bubble3D val="0"/>
        </c:ser>
        <c:ser>
          <c:idx val="4"/>
          <c:order val="4"/>
          <c:tx>
            <c:strRef>
              <c:f>'[3简报数据图表.xlsx]1气泡图'!$F$1</c:f>
              <c:strCache>
                <c:ptCount val="1"/>
                <c:pt idx="0">
                  <c:v>F03B13</c:v>
                </c:pt>
              </c:strCache>
            </c:strRef>
          </c:tx>
          <c:spPr>
            <a:gradFill>
              <a:gsLst>
                <a:gs pos="100000">
                  <a:schemeClr val="accent1">
                    <a:shade val="83846"/>
                  </a:schemeClr>
                </a:gs>
                <a:gs pos="0">
                  <a:schemeClr val="accent1">
                    <a:shade val="83846"/>
                    <a:hueOff val="-1670000"/>
                  </a:schemeClr>
                </a:gs>
              </a:gsLst>
              <a:lin ang="2700000" scaled="0"/>
            </a:gradFill>
            <a:ln w="9525" cap="rnd">
              <a:gradFill>
                <a:gsLst>
                  <a:gs pos="100000">
                    <a:schemeClr val="accent1">
                      <a:shade val="83846"/>
                      <a:lumMod val="75000"/>
                    </a:schemeClr>
                  </a:gs>
                  <a:gs pos="0">
                    <a:schemeClr val="accent1">
                      <a:shade val="83846"/>
                      <a:lumMod val="75000"/>
                      <a:hueOff val="-1670000"/>
                    </a:schemeClr>
                  </a:gs>
                </a:gsLst>
                <a:lin ang="2700000" scaled="0"/>
              </a:gradFill>
              <a:round/>
            </a:ln>
            <a:effectLst/>
          </c:spPr>
          <c:invertIfNegative val="0"/>
          <c:dLbls>
            <c:delete val="1"/>
          </c:dLbls>
          <c:xVal>
            <c:numRef>
              <c:f>'[3简报数据图表.xlsx]1气泡图'!$H$16:$H$26</c:f>
              <c:numCache>
                <c:formatCode>General</c:formatCode>
                <c:ptCount val="11"/>
                <c:pt idx="0">
                  <c:v>5</c:v>
                </c:pt>
                <c:pt idx="1">
                  <c:v>5</c:v>
                </c:pt>
                <c:pt idx="2">
                  <c:v>5</c:v>
                </c:pt>
                <c:pt idx="3">
                  <c:v>5</c:v>
                </c:pt>
                <c:pt idx="4">
                  <c:v>5</c:v>
                </c:pt>
                <c:pt idx="5">
                  <c:v>5</c:v>
                </c:pt>
                <c:pt idx="6">
                  <c:v>5</c:v>
                </c:pt>
                <c:pt idx="7">
                  <c:v>5</c:v>
                </c:pt>
                <c:pt idx="8">
                  <c:v>5</c:v>
                </c:pt>
                <c:pt idx="9">
                  <c:v>5</c:v>
                </c:pt>
                <c:pt idx="10">
                  <c:v>5</c:v>
                </c:pt>
              </c:numCache>
            </c:numRef>
          </c:xVal>
          <c:yVal>
            <c:numRef>
              <c:f>'[3简报数据图表.xlsx]1气泡图'!$D$21:$N$21</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'[3简报数据图表.xlsx]1气泡图'!$F$2:$F$11</c:f>
              <c:numCache>
                <c:formatCode>General</c:formatCode>
                <c:ptCount val="10"/>
                <c:pt idx="0">
                  <c:v>6</c:v>
                </c:pt>
                <c:pt idx="1">
                  <c:v>12</c:v>
                </c:pt>
                <c:pt idx="2">
                  <c:v>10</c:v>
                </c:pt>
                <c:pt idx="3">
                  <c:v>0</c:v>
                </c:pt>
                <c:pt idx="4">
                  <c:v>22</c:v>
                </c:pt>
                <c:pt idx="5">
                  <c:v>3</c:v>
                </c:pt>
                <c:pt idx="6">
                  <c:v>4</c:v>
                </c:pt>
                <c:pt idx="7">
                  <c:v>6</c:v>
                </c:pt>
                <c:pt idx="8">
                  <c:v>10</c:v>
                </c:pt>
                <c:pt idx="9">
                  <c:v>0</c:v>
                </c:pt>
              </c:numCache>
            </c:numRef>
          </c:bubbleSize>
          <c:bubble3D val="0"/>
        </c:ser>
        <c:ser>
          <c:idx val="5"/>
          <c:order val="5"/>
          <c:tx>
            <c:strRef>
              <c:f>'[3简报数据图表.xlsx]1气泡图'!$G$1</c:f>
              <c:strCache>
                <c:ptCount val="1"/>
                <c:pt idx="0">
                  <c:v>F03D80</c:v>
                </c:pt>
              </c:strCache>
            </c:strRef>
          </c:tx>
          <c:spPr>
            <a:gradFill>
              <a:gsLst>
                <a:gs pos="100000">
                  <a:schemeClr val="accent1">
                    <a:shade val="94615"/>
                  </a:schemeClr>
                </a:gs>
                <a:gs pos="0">
                  <a:schemeClr val="accent1">
                    <a:shade val="94615"/>
                    <a:hueOff val="-1670000"/>
                  </a:schemeClr>
                </a:gs>
              </a:gsLst>
              <a:lin ang="2700000" scaled="0"/>
            </a:gradFill>
            <a:ln w="9525" cap="rnd">
              <a:gradFill>
                <a:gsLst>
                  <a:gs pos="100000">
                    <a:schemeClr val="accent1">
                      <a:shade val="94615"/>
                      <a:lumMod val="75000"/>
                    </a:schemeClr>
                  </a:gs>
                  <a:gs pos="0">
                    <a:schemeClr val="accent1">
                      <a:shade val="94615"/>
                      <a:lumMod val="75000"/>
                      <a:hueOff val="-1670000"/>
                    </a:schemeClr>
                  </a:gs>
                </a:gsLst>
                <a:lin ang="2700000" scaled="0"/>
              </a:gradFill>
              <a:round/>
            </a:ln>
            <a:effectLst/>
          </c:spPr>
          <c:invertIfNegative val="0"/>
          <c:dLbls>
            <c:delete val="1"/>
          </c:dLbls>
          <c:xVal>
            <c:numRef>
              <c:f>'[3简报数据图表.xlsx]1气泡图'!$I$16:$I$25</c:f>
              <c:numCache>
                <c:formatCode>General</c:formatCode>
                <c:ptCount val="10"/>
                <c:pt idx="0">
                  <c:v>6</c:v>
                </c:pt>
                <c:pt idx="1">
                  <c:v>6</c:v>
                </c:pt>
                <c:pt idx="2">
                  <c:v>6</c:v>
                </c:pt>
                <c:pt idx="3">
                  <c:v>6</c:v>
                </c:pt>
                <c:pt idx="4">
                  <c:v>6</c:v>
                </c:pt>
                <c:pt idx="5">
                  <c:v>6</c:v>
                </c:pt>
                <c:pt idx="6">
                  <c:v>6</c:v>
                </c:pt>
                <c:pt idx="7">
                  <c:v>6</c:v>
                </c:pt>
                <c:pt idx="8">
                  <c:v>6</c:v>
                </c:pt>
                <c:pt idx="9">
                  <c:v>6</c:v>
                </c:pt>
              </c:numCache>
            </c:numRef>
          </c:xVal>
          <c:yVal>
            <c:numRef>
              <c:f>'[3简报数据图表.xlsx]1气泡图'!$D$21:$N$21</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'[3简报数据图表.xlsx]1气泡图'!$G$2:$G$11</c:f>
              <c:numCache>
                <c:formatCode>General</c:formatCode>
                <c:ptCount val="10"/>
                <c:pt idx="0">
                  <c:v>10</c:v>
                </c:pt>
                <c:pt idx="1">
                  <c:v>29</c:v>
                </c:pt>
                <c:pt idx="2">
                  <c:v>8</c:v>
                </c:pt>
                <c:pt idx="3">
                  <c:v>1</c:v>
                </c:pt>
                <c:pt idx="4">
                  <c:v>19</c:v>
                </c:pt>
                <c:pt idx="5">
                  <c:v>4</c:v>
                </c:pt>
                <c:pt idx="6">
                  <c:v>2</c:v>
                </c:pt>
                <c:pt idx="7">
                  <c:v>3</c:v>
                </c:pt>
                <c:pt idx="8">
                  <c:v>6</c:v>
                </c:pt>
                <c:pt idx="9">
                  <c:v>13</c:v>
                </c:pt>
              </c:numCache>
            </c:numRef>
          </c:bubbleSize>
          <c:bubble3D val="0"/>
        </c:ser>
        <c:ser>
          <c:idx val="6"/>
          <c:order val="6"/>
          <c:tx>
            <c:strRef>
              <c:f>'[3简报数据图表.xlsx]1气泡图'!$H$1</c:f>
              <c:strCache>
                <c:ptCount val="1"/>
                <c:pt idx="0">
                  <c:v>H02J3</c:v>
                </c:pt>
              </c:strCache>
            </c:strRef>
          </c:tx>
          <c:spPr>
            <a:gradFill>
              <a:gsLst>
                <a:gs pos="100000">
                  <a:schemeClr val="accent1">
                    <a:tint val="94615"/>
                  </a:schemeClr>
                </a:gs>
                <a:gs pos="0">
                  <a:schemeClr val="accent1">
                    <a:tint val="94615"/>
                    <a:hueOff val="-1670000"/>
                  </a:schemeClr>
                </a:gs>
              </a:gsLst>
              <a:lin ang="2700000" scaled="0"/>
            </a:gradFill>
            <a:ln w="9525" cap="rnd">
              <a:gradFill>
                <a:gsLst>
                  <a:gs pos="100000">
                    <a:schemeClr val="accent1">
                      <a:tint val="94615"/>
                      <a:lumMod val="75000"/>
                    </a:schemeClr>
                  </a:gs>
                  <a:gs pos="0">
                    <a:schemeClr val="accent1">
                      <a:tint val="94615"/>
                      <a:lumMod val="75000"/>
                      <a:hueOff val="-1670000"/>
                    </a:schemeClr>
                  </a:gs>
                </a:gsLst>
                <a:lin ang="2700000" scaled="0"/>
              </a:gradFill>
              <a:round/>
            </a:ln>
            <a:effectLst/>
          </c:spPr>
          <c:invertIfNegative val="0"/>
          <c:dLbls>
            <c:delete val="1"/>
          </c:dLbls>
          <c:xVal>
            <c:numRef>
              <c:f>'[3简报数据图表.xlsx]1气泡图'!$J$16:$J$25</c:f>
              <c:numCache>
                <c:formatCode>General</c:formatCode>
                <c:ptCount val="10"/>
                <c:pt idx="0">
                  <c:v>7</c:v>
                </c:pt>
                <c:pt idx="1">
                  <c:v>7</c:v>
                </c:pt>
                <c:pt idx="2">
                  <c:v>7</c:v>
                </c:pt>
                <c:pt idx="3">
                  <c:v>7</c:v>
                </c:pt>
                <c:pt idx="4">
                  <c:v>7</c:v>
                </c:pt>
                <c:pt idx="5">
                  <c:v>7</c:v>
                </c:pt>
                <c:pt idx="6">
                  <c:v>7</c:v>
                </c:pt>
                <c:pt idx="7">
                  <c:v>7</c:v>
                </c:pt>
                <c:pt idx="8">
                  <c:v>7</c:v>
                </c:pt>
                <c:pt idx="9">
                  <c:v>7</c:v>
                </c:pt>
              </c:numCache>
            </c:numRef>
          </c:xVal>
          <c:yVal>
            <c:numRef>
              <c:f>'[3简报数据图表.xlsx]1气泡图'!$D$22:$N$22</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'[3简报数据图表.xlsx]1气泡图'!$H$2:$H$11</c:f>
              <c:numCache>
                <c:formatCode>General</c:formatCode>
                <c:ptCount val="10"/>
                <c:pt idx="0">
                  <c:v>39</c:v>
                </c:pt>
                <c:pt idx="1">
                  <c:v>40</c:v>
                </c:pt>
                <c:pt idx="2">
                  <c:v>8</c:v>
                </c:pt>
                <c:pt idx="3">
                  <c:v>0</c:v>
                </c:pt>
                <c:pt idx="4">
                  <c:v>0</c:v>
                </c:pt>
                <c:pt idx="5">
                  <c:v>28</c:v>
                </c:pt>
                <c:pt idx="6">
                  <c:v>10</c:v>
                </c:pt>
                <c:pt idx="7">
                  <c:v>15</c:v>
                </c:pt>
                <c:pt idx="8">
                  <c:v>10</c:v>
                </c:pt>
                <c:pt idx="9">
                  <c:v>7</c:v>
                </c:pt>
              </c:numCache>
            </c:numRef>
          </c:bubbleSize>
          <c:bubble3D val="0"/>
        </c:ser>
        <c:ser>
          <c:idx val="7"/>
          <c:order val="7"/>
          <c:tx>
            <c:strRef>
              <c:f>'[3简报数据图表.xlsx]1气泡图'!$I$1</c:f>
              <c:strCache>
                <c:ptCount val="1"/>
                <c:pt idx="0">
                  <c:v>E02D31</c:v>
                </c:pt>
              </c:strCache>
            </c:strRef>
          </c:tx>
          <c:spPr>
            <a:gradFill>
              <a:gsLst>
                <a:gs pos="100000">
                  <a:schemeClr val="accent1">
                    <a:tint val="83846"/>
                  </a:schemeClr>
                </a:gs>
                <a:gs pos="0">
                  <a:schemeClr val="accent1">
                    <a:tint val="83846"/>
                    <a:hueOff val="-1670000"/>
                  </a:schemeClr>
                </a:gs>
              </a:gsLst>
              <a:lin ang="2700000" scaled="0"/>
            </a:gradFill>
            <a:ln w="9525" cap="rnd">
              <a:gradFill>
                <a:gsLst>
                  <a:gs pos="100000">
                    <a:schemeClr val="accent1">
                      <a:tint val="83846"/>
                      <a:lumMod val="75000"/>
                    </a:schemeClr>
                  </a:gs>
                  <a:gs pos="0">
                    <a:schemeClr val="accent1">
                      <a:tint val="83846"/>
                      <a:lumMod val="75000"/>
                      <a:hueOff val="-1670000"/>
                    </a:schemeClr>
                  </a:gs>
                </a:gsLst>
                <a:lin ang="2700000" scaled="0"/>
              </a:gradFill>
              <a:round/>
            </a:ln>
            <a:effectLst/>
          </c:spPr>
          <c:invertIfNegative val="0"/>
          <c:dLbls>
            <c:delete val="1"/>
          </c:dLbls>
          <c:xVal>
            <c:numRef>
              <c:f>'[3简报数据图表.xlsx]1气泡图'!$K$16:$K$25</c:f>
              <c:numCache>
                <c:formatCode>General</c:formatCode>
                <c:ptCount val="10"/>
                <c:pt idx="0">
                  <c:v>8</c:v>
                </c:pt>
                <c:pt idx="1">
                  <c:v>8</c:v>
                </c:pt>
                <c:pt idx="2">
                  <c:v>8</c:v>
                </c:pt>
                <c:pt idx="3">
                  <c:v>8</c:v>
                </c:pt>
                <c:pt idx="4">
                  <c:v>8</c:v>
                </c:pt>
                <c:pt idx="5">
                  <c:v>8</c:v>
                </c:pt>
                <c:pt idx="6">
                  <c:v>8</c:v>
                </c:pt>
                <c:pt idx="7">
                  <c:v>8</c:v>
                </c:pt>
                <c:pt idx="8">
                  <c:v>8</c:v>
                </c:pt>
                <c:pt idx="9">
                  <c:v>8</c:v>
                </c:pt>
              </c:numCache>
            </c:numRef>
          </c:xVal>
          <c:yVal>
            <c:numRef>
              <c:f>'[3简报数据图表.xlsx]1气泡图'!$D$23:$N$23</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'[3简报数据图表.xlsx]1气泡图'!$I$2:$I$11</c:f>
              <c:numCache>
                <c:formatCode>General</c:formatCode>
                <c:ptCount val="10"/>
                <c:pt idx="0">
                  <c:v>21</c:v>
                </c:pt>
                <c:pt idx="1">
                  <c:v>94</c:v>
                </c:pt>
                <c:pt idx="2">
                  <c:v>16</c:v>
                </c:pt>
                <c:pt idx="3">
                  <c:v>19</c:v>
                </c:pt>
                <c:pt idx="4">
                  <c:v>4</c:v>
                </c:pt>
                <c:pt idx="5">
                  <c:v>10</c:v>
                </c:pt>
                <c:pt idx="6">
                  <c:v>7</c:v>
                </c:pt>
                <c:pt idx="7">
                  <c:v>17</c:v>
                </c:pt>
                <c:pt idx="8">
                  <c:v>10</c:v>
                </c:pt>
                <c:pt idx="9">
                  <c:v>26</c:v>
                </c:pt>
              </c:numCache>
            </c:numRef>
          </c:bubbleSize>
          <c:bubble3D val="0"/>
        </c:ser>
        <c:ser>
          <c:idx val="8"/>
          <c:order val="8"/>
          <c:tx>
            <c:strRef>
              <c:f>'[3简报数据图表.xlsx]1气泡图'!$J$1</c:f>
              <c:strCache>
                <c:ptCount val="1"/>
                <c:pt idx="0">
                  <c:v>E02B17</c:v>
                </c:pt>
              </c:strCache>
            </c:strRef>
          </c:tx>
          <c:spPr>
            <a:gradFill>
              <a:gsLst>
                <a:gs pos="100000">
                  <a:schemeClr val="accent1">
                    <a:tint val="73077"/>
                  </a:schemeClr>
                </a:gs>
                <a:gs pos="0">
                  <a:schemeClr val="accent1">
                    <a:tint val="73077"/>
                    <a:hueOff val="-1670000"/>
                  </a:schemeClr>
                </a:gs>
              </a:gsLst>
              <a:lin ang="2700000" scaled="0"/>
            </a:gradFill>
            <a:ln w="9525" cap="rnd">
              <a:gradFill>
                <a:gsLst>
                  <a:gs pos="100000">
                    <a:schemeClr val="accent1">
                      <a:tint val="73077"/>
                      <a:lumMod val="75000"/>
                    </a:schemeClr>
                  </a:gs>
                  <a:gs pos="0">
                    <a:schemeClr val="accent1">
                      <a:tint val="73077"/>
                      <a:lumMod val="75000"/>
                      <a:hueOff val="-1670000"/>
                    </a:schemeClr>
                  </a:gs>
                </a:gsLst>
                <a:lin ang="2700000" scaled="0"/>
              </a:gradFill>
              <a:round/>
            </a:ln>
            <a:effectLst/>
          </c:spPr>
          <c:invertIfNegative val="0"/>
          <c:dLbls>
            <c:delete val="1"/>
          </c:dLbls>
          <c:xVal>
            <c:numRef>
              <c:f>'[3简报数据图表.xlsx]1气泡图'!$L$16:$L$25</c:f>
              <c:numCache>
                <c:formatCode>General</c:formatCode>
                <c:ptCount val="10"/>
                <c:pt idx="0">
                  <c:v>9</c:v>
                </c:pt>
                <c:pt idx="1">
                  <c:v>9</c:v>
                </c:pt>
                <c:pt idx="2">
                  <c:v>9</c:v>
                </c:pt>
                <c:pt idx="3">
                  <c:v>9</c:v>
                </c:pt>
                <c:pt idx="4">
                  <c:v>9</c:v>
                </c:pt>
                <c:pt idx="5">
                  <c:v>9</c:v>
                </c:pt>
                <c:pt idx="6">
                  <c:v>9</c:v>
                </c:pt>
                <c:pt idx="7">
                  <c:v>9</c:v>
                </c:pt>
                <c:pt idx="8">
                  <c:v>9</c:v>
                </c:pt>
                <c:pt idx="9">
                  <c:v>9</c:v>
                </c:pt>
              </c:numCache>
            </c:numRef>
          </c:xVal>
          <c:yVal>
            <c:numRef>
              <c:f>'[3简报数据图表.xlsx]1气泡图'!$D$24:$N$24</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'[3简报数据图表.xlsx]1气泡图'!$J$2:$J$11</c:f>
              <c:numCache>
                <c:formatCode>General</c:formatCode>
                <c:ptCount val="10"/>
                <c:pt idx="0">
                  <c:v>57</c:v>
                </c:pt>
                <c:pt idx="1">
                  <c:v>7</c:v>
                </c:pt>
                <c:pt idx="2">
                  <c:v>14</c:v>
                </c:pt>
                <c:pt idx="3">
                  <c:v>27</c:v>
                </c:pt>
                <c:pt idx="4">
                  <c:v>10</c:v>
                </c:pt>
                <c:pt idx="5">
                  <c:v>18</c:v>
                </c:pt>
                <c:pt idx="6">
                  <c:v>10</c:v>
                </c:pt>
                <c:pt idx="7">
                  <c:v>5</c:v>
                </c:pt>
                <c:pt idx="8">
                  <c:v>7</c:v>
                </c:pt>
                <c:pt idx="9">
                  <c:v>5</c:v>
                </c:pt>
              </c:numCache>
            </c:numRef>
          </c:bubbleSize>
          <c:bubble3D val="0"/>
        </c:ser>
        <c:ser>
          <c:idx val="9"/>
          <c:order val="9"/>
          <c:tx>
            <c:strRef>
              <c:f>'[3简报数据图表.xlsx]1气泡图'!$K$1</c:f>
              <c:strCache>
                <c:ptCount val="1"/>
                <c:pt idx="0">
                  <c:v>B63B21</c:v>
                </c:pt>
              </c:strCache>
            </c:strRef>
          </c:tx>
          <c:spPr>
            <a:gradFill>
              <a:gsLst>
                <a:gs pos="100000">
                  <a:schemeClr val="accent1">
                    <a:tint val="62308"/>
                  </a:schemeClr>
                </a:gs>
                <a:gs pos="0">
                  <a:schemeClr val="accent1">
                    <a:tint val="62308"/>
                    <a:hueOff val="-1670000"/>
                  </a:schemeClr>
                </a:gs>
              </a:gsLst>
              <a:lin ang="2700000" scaled="0"/>
            </a:gradFill>
            <a:ln w="9525" cap="rnd">
              <a:gradFill>
                <a:gsLst>
                  <a:gs pos="100000">
                    <a:schemeClr val="accent1">
                      <a:tint val="62308"/>
                      <a:lumMod val="75000"/>
                    </a:schemeClr>
                  </a:gs>
                  <a:gs pos="0">
                    <a:schemeClr val="accent1">
                      <a:tint val="62308"/>
                      <a:lumMod val="75000"/>
                      <a:hueOff val="-1670000"/>
                    </a:schemeClr>
                  </a:gs>
                </a:gsLst>
                <a:lin ang="2700000" scaled="0"/>
              </a:gradFill>
              <a:round/>
            </a:ln>
            <a:effectLst/>
          </c:spPr>
          <c:invertIfNegative val="0"/>
          <c:dLbls>
            <c:delete val="1"/>
          </c:dLbls>
          <c:xVal>
            <c:numRef>
              <c:f>'[3简报数据图表.xlsx]1气泡图'!$M$16:$M$25</c:f>
              <c:numCache>
                <c:formatCode>General</c:formatCode>
                <c:ptCount val="10"/>
                <c:pt idx="0">
                  <c:v>10</c:v>
                </c:pt>
                <c:pt idx="1">
                  <c:v>10</c:v>
                </c:pt>
                <c:pt idx="2">
                  <c:v>10</c:v>
                </c:pt>
                <c:pt idx="3">
                  <c:v>10</c:v>
                </c:pt>
                <c:pt idx="4">
                  <c:v>10</c:v>
                </c:pt>
                <c:pt idx="5">
                  <c:v>10</c:v>
                </c:pt>
                <c:pt idx="6">
                  <c:v>10</c:v>
                </c:pt>
                <c:pt idx="7">
                  <c:v>10</c:v>
                </c:pt>
                <c:pt idx="8">
                  <c:v>10</c:v>
                </c:pt>
                <c:pt idx="9">
                  <c:v>10</c:v>
                </c:pt>
              </c:numCache>
            </c:numRef>
          </c:xVal>
          <c:yVal>
            <c:numRef>
              <c:f>'[3简报数据图表.xlsx]1气泡图'!$D$25:$N$25</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'[3简报数据图表.xlsx]1气泡图'!$K$2:$K$11</c:f>
              <c:numCache>
                <c:formatCode>General</c:formatCode>
                <c:ptCount val="10"/>
                <c:pt idx="0">
                  <c:v>18</c:v>
                </c:pt>
                <c:pt idx="1">
                  <c:v>11</c:v>
                </c:pt>
                <c:pt idx="2">
                  <c:v>17</c:v>
                </c:pt>
                <c:pt idx="3">
                  <c:v>7</c:v>
                </c:pt>
                <c:pt idx="4">
                  <c:v>8</c:v>
                </c:pt>
                <c:pt idx="5">
                  <c:v>1</c:v>
                </c:pt>
                <c:pt idx="6">
                  <c:v>6</c:v>
                </c:pt>
                <c:pt idx="7">
                  <c:v>5</c:v>
                </c:pt>
                <c:pt idx="8">
                  <c:v>6</c:v>
                </c:pt>
                <c:pt idx="9">
                  <c:v>1</c:v>
                </c:pt>
              </c:numCache>
            </c:numRef>
          </c:bubbleSize>
          <c:bubble3D val="0"/>
        </c:ser>
        <c:ser>
          <c:idx val="10"/>
          <c:order val="10"/>
          <c:tx>
            <c:strRef>
              <c:f>'[3简报数据图表.xlsx]1气泡图'!$A$12</c:f>
              <c:strCache>
                <c:ptCount val="1"/>
                <c:pt idx="0">
                  <c:v>横轴</c:v>
                </c:pt>
              </c:strCache>
            </c:strRef>
          </c:tx>
          <c:spPr>
            <a:gradFill>
              <a:gsLst>
                <a:gs pos="100000">
                  <a:schemeClr val="accent1">
                    <a:tint val="51538"/>
                  </a:schemeClr>
                </a:gs>
                <a:gs pos="0">
                  <a:schemeClr val="accent1">
                    <a:tint val="51538"/>
                    <a:hueOff val="-1670000"/>
                  </a:schemeClr>
                </a:gs>
              </a:gsLst>
              <a:lin ang="2700000" scaled="0"/>
            </a:gradFill>
            <a:ln w="9525" cap="rnd">
              <a:gradFill>
                <a:gsLst>
                  <a:gs pos="100000">
                    <a:schemeClr val="accent1">
                      <a:tint val="51538"/>
                      <a:lumMod val="75000"/>
                    </a:schemeClr>
                  </a:gs>
                  <a:gs pos="0">
                    <a:schemeClr val="accent1">
                      <a:tint val="51538"/>
                      <a:lumMod val="75000"/>
                      <a:hueOff val="-1670000"/>
                    </a:schemeClr>
                  </a:gs>
                </a:gsLst>
                <a:lin ang="2700000" scaled="0"/>
              </a:gradFill>
              <a:round/>
            </a:ln>
            <a:effectLst/>
          </c:spPr>
          <c:invertIfNegative val="0"/>
          <c:dLbls>
            <c:dLbl>
              <c:idx val="0"/>
              <c:layout>
                <c:manualLayout>
                  <c:x val="-0.00204349729966428"/>
                  <c:y val="0.0342077845227238"/>
                </c:manualLayout>
              </c:layout>
              <c:tx>
                <c:rich>
                  <a:bodyPr rot="-1800000" spcFirstLastPara="0" vertOverflow="ellipsis" vert="horz" wrap="square" lIns="38100" tIns="19050" rIns="38100" bIns="19050" anchor="ctr" anchorCtr="1"/>
                  <a:lstStyle/>
                  <a:p>
                    <a:fld id="{be4fd6ef-d5b7-4afe-823b-3eb038f9ee50}"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
              <c:layout>
                <c:manualLayout>
                  <c:x val="-0.00131233595800525"/>
                  <c:y val="0.0333720135239774"/>
                </c:manualLayout>
              </c:layout>
              <c:tx>
                <c:rich>
                  <a:bodyPr rot="-1800000" spcFirstLastPara="0" vertOverflow="ellipsis" vert="horz" wrap="square" lIns="38100" tIns="19050" rIns="38100" bIns="19050" anchor="ctr" anchorCtr="1"/>
                  <a:lstStyle/>
                  <a:p>
                    <a:fld id="{b1b42548-11d9-4b61-ae89-3b7dd2825a22}"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2"/>
              <c:layout>
                <c:manualLayout>
                  <c:x val="0"/>
                  <c:y val="0.0340980187695516"/>
                </c:manualLayout>
              </c:layout>
              <c:tx>
                <c:rich>
                  <a:bodyPr rot="-1800000" spcFirstLastPara="0" vertOverflow="ellipsis" vert="horz" wrap="square" lIns="38100" tIns="19050" rIns="38100" bIns="19050" anchor="ctr" anchorCtr="1"/>
                  <a:lstStyle/>
                  <a:p>
                    <a:fld id="{da39165a-9cdc-410a-bf1b-4f218f57362c}"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3"/>
              <c:layout>
                <c:manualLayout>
                  <c:x val="7.29820464165815e-5"/>
                  <c:y val="0.0342022940563087"/>
                </c:manualLayout>
              </c:layout>
              <c:tx>
                <c:rich>
                  <a:bodyPr rot="-1800000" spcFirstLastPara="0" vertOverflow="ellipsis" vert="horz" wrap="square" lIns="38100" tIns="19050" rIns="38100" bIns="19050" anchor="ctr" anchorCtr="1"/>
                  <a:lstStyle/>
                  <a:p>
                    <a:fld id="{55280672-4694-4abb-8473-e3566205202c}"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4"/>
              <c:layout>
                <c:manualLayout>
                  <c:x val="0.00094876660341556"/>
                  <c:y val="0.0340980187695516"/>
                </c:manualLayout>
              </c:layout>
              <c:tx>
                <c:rich>
                  <a:bodyPr rot="-1800000" spcFirstLastPara="0" vertOverflow="ellipsis" vert="horz" wrap="square" lIns="38100" tIns="19050" rIns="38100" bIns="19050" anchor="ctr" anchorCtr="1"/>
                  <a:lstStyle/>
                  <a:p>
                    <a:fld id="{80b2f3a6-e5b3-4e01-8747-92a0f5596348}"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5"/>
              <c:layout>
                <c:manualLayout>
                  <c:x val="0.0039410305064954"/>
                  <c:y val="0.0340980187695516"/>
                </c:manualLayout>
              </c:layout>
              <c:tx>
                <c:rich>
                  <a:bodyPr rot="-1800000" spcFirstLastPara="0" vertOverflow="ellipsis" vert="horz" wrap="square" lIns="38100" tIns="19050" rIns="38100" bIns="19050" anchor="ctr" anchorCtr="1"/>
                  <a:lstStyle/>
                  <a:p>
                    <a:fld id="{a1136df4-ccdf-4aba-8c2b-3c58ba3d3782}"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6"/>
              <c:layout>
                <c:manualLayout>
                  <c:x val="0.00102174864983214"/>
                  <c:y val="0.0342022940563087"/>
                </c:manualLayout>
              </c:layout>
              <c:tx>
                <c:rich>
                  <a:bodyPr rot="-1800000" spcFirstLastPara="0" vertOverflow="ellipsis" vert="horz" wrap="square" lIns="38100" tIns="19050" rIns="38100" bIns="19050" anchor="ctr" anchorCtr="1"/>
                  <a:lstStyle/>
                  <a:p>
                    <a:fld id="{d1830fe3-71c5-4385-9f77-f3e0de71cb35}"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7"/>
              <c:layout>
                <c:manualLayout>
                  <c:x val="-0.00094876660341556"/>
                  <c:y val="0.0342022940563087"/>
                </c:manualLayout>
              </c:layout>
              <c:tx>
                <c:rich>
                  <a:bodyPr rot="-1800000" spcFirstLastPara="0" vertOverflow="ellipsis" vert="horz" wrap="square" lIns="38100" tIns="19050" rIns="38100" bIns="19050" anchor="ctr" anchorCtr="1"/>
                  <a:lstStyle/>
                  <a:p>
                    <a:fld id="{9f08a874-33ff-472c-a932-ae1fb0ff74d9}"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8"/>
              <c:layout>
                <c:manualLayout>
                  <c:x val="0"/>
                  <c:y val="0.0342022940563087"/>
                </c:manualLayout>
              </c:layout>
              <c:tx>
                <c:rich>
                  <a:bodyPr rot="-1800000" spcFirstLastPara="0" vertOverflow="ellipsis" vert="horz" wrap="square" lIns="38100" tIns="19050" rIns="38100" bIns="19050" anchor="ctr" anchorCtr="1"/>
                  <a:lstStyle/>
                  <a:p>
                    <a:fld id="{2af7fbd5-4938-46ea-8221-aa525375c9e7}"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9"/>
              <c:layout>
                <c:manualLayout>
                  <c:x val="0"/>
                  <c:y val="0.0340980187695516"/>
                </c:manualLayout>
              </c:layout>
              <c:tx>
                <c:rich>
                  <a:bodyPr rot="-1800000" spcFirstLastPara="0" vertOverflow="ellipsis" vert="horz" wrap="square" lIns="38100" tIns="19050" rIns="38100" bIns="19050" anchor="ctr" anchorCtr="1"/>
                  <a:lstStyle/>
                  <a:p>
                    <a:fld id="{b894b60c-c4de-4506-bf36-6eafe1b988e1}" type="CELLRANGE">
                      <a:t>[CELLRANGE]</a:t>
                    </a:fld>
                  </a:p>
                </c:rich>
              </c:tx>
              <c:dLblPos val="b"/>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10"/>
              <c:layout/>
              <c:dLblPos val="b"/>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1800000" spcFirstLastPara="0" vertOverflow="ellipsis" vert="horz" wrap="square" lIns="38100" tIns="19050" rIns="38100" bIns="19050" anchor="ctr" anchorCtr="1"/>
              <a:lstStyle/>
              <a:p>
                <a:pPr>
                  <a:defRPr lang="zh-CN" sz="1000" b="0" i="0" u="none" strike="noStrike" kern="1200" baseline="0">
                    <a:solidFill>
                      <a:sysClr val="windowText" lastClr="000000"/>
                    </a:solidFill>
                    <a:latin typeface="+mn-lt"/>
                    <a:ea typeface="+mn-ea"/>
                    <a:cs typeface="+mn-cs"/>
                  </a:defRPr>
                </a:pPr>
              </a:p>
            </c:txPr>
            <c:dLblPos val="b"/>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9525">
                      <a:solidFill>
                        <a:schemeClr val="dk1">
                          <a:lumMod val="35000"/>
                          <a:lumOff val="65000"/>
                        </a:schemeClr>
                      </a:solidFill>
                    </a:ln>
                    <a:effectLst/>
                  </c:spPr>
                </c15:leaderLines>
              </c:ext>
            </c:extLst>
          </c:dLbls>
          <c:xVal>
            <c:numRef>
              <c:f>'[3简报数据图表.xlsx]1气泡图'!$D$16:$N$16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xVal>
          <c:yVal>
            <c:numRef>
              <c:f>'[3简报数据图表.xlsx]1气泡图'!$C$16:$C$26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yVal>
          <c:bubbleSize>
            <c:numRef>
              <c:f>'[3简报数据图表.xlsx]1气泡图'!$B$12:$M$12</c:f>
              <c:numCache>
                <c:formatCode>General</c:formatCode>
                <c:ptCount val="12"/>
                <c:pt idx="0">
                  <c:v>0.01</c:v>
                </c:pt>
                <c:pt idx="1">
                  <c:v>0.01</c:v>
                </c:pt>
                <c:pt idx="2">
                  <c:v>0.01</c:v>
                </c:pt>
                <c:pt idx="3">
                  <c:v>0.01</c:v>
                </c:pt>
                <c:pt idx="4">
                  <c:v>0.01</c:v>
                </c:pt>
                <c:pt idx="5">
                  <c:v>0.01</c:v>
                </c:pt>
                <c:pt idx="6">
                  <c:v>0.01</c:v>
                </c:pt>
                <c:pt idx="7">
                  <c:v>0.01</c:v>
                </c:pt>
                <c:pt idx="8">
                  <c:v>0.01</c:v>
                </c:pt>
                <c:pt idx="9">
                  <c:v>0.01</c:v>
                </c:pt>
              </c:numCache>
            </c:numRef>
          </c:bubbleSize>
          <c:bubble3D val="0"/>
          <c:extLst>
            <c:ext xmlns:c15="http://schemas.microsoft.com/office/drawing/2012/chart" uri="{02D57815-91ED-43cb-92C2-25804820EDAC}">
              <c15:datalabelsRange>
                <c15:f>'1气泡图'!$B$1:$M$1</c15:f>
                <c15:dlblRangeCache>
                  <c:ptCount val="12"/>
                  <c:pt idx="0">
                    <c:v>E02D27</c:v>
                  </c:pt>
                  <c:pt idx="1">
                    <c:v>F03D13</c:v>
                  </c:pt>
                  <c:pt idx="2">
                    <c:v>F03D9</c:v>
                  </c:pt>
                  <c:pt idx="3">
                    <c:v>B63B35</c:v>
                  </c:pt>
                  <c:pt idx="4">
                    <c:v>F03B13</c:v>
                  </c:pt>
                  <c:pt idx="5">
                    <c:v>F03D80</c:v>
                  </c:pt>
                  <c:pt idx="6">
                    <c:v>H02J3</c:v>
                  </c:pt>
                  <c:pt idx="7">
                    <c:v>E02D31</c:v>
                  </c:pt>
                  <c:pt idx="8">
                    <c:v>E02B17</c:v>
                  </c:pt>
                  <c:pt idx="9">
                    <c:v>B63B21</c:v>
                  </c:pt>
                </c15:dlblRangeCache>
              </c15:datalabelsRange>
            </c:ext>
          </c:extLst>
        </c:ser>
        <c:ser>
          <c:idx val="11"/>
          <c:order val="11"/>
          <c:tx>
            <c:strRef>
              <c:f>'[3简报数据图表.xlsx]1气泡图'!$A$15</c:f>
              <c:strCache>
                <c:ptCount val="1"/>
                <c:pt idx="0">
                  <c:v>纵轴</c:v>
                </c:pt>
              </c:strCache>
            </c:strRef>
          </c:tx>
          <c:spPr>
            <a:gradFill>
              <a:gsLst>
                <a:gs pos="100000">
                  <a:schemeClr val="accent1">
                    <a:tint val="40769"/>
                  </a:schemeClr>
                </a:gs>
                <a:gs pos="0">
                  <a:schemeClr val="accent1">
                    <a:tint val="40769"/>
                    <a:hueOff val="-1670000"/>
                  </a:schemeClr>
                </a:gs>
              </a:gsLst>
              <a:lin ang="2700000" scaled="0"/>
            </a:gradFill>
            <a:ln w="9525" cap="rnd">
              <a:gradFill>
                <a:gsLst>
                  <a:gs pos="100000">
                    <a:schemeClr val="accent1">
                      <a:tint val="40769"/>
                      <a:lumMod val="75000"/>
                    </a:schemeClr>
                  </a:gs>
                  <a:gs pos="0">
                    <a:schemeClr val="accent1">
                      <a:tint val="40769"/>
                      <a:lumMod val="75000"/>
                      <a:hueOff val="-1670000"/>
                    </a:schemeClr>
                  </a:gs>
                </a:gsLst>
                <a:lin ang="2700000" scaled="0"/>
              </a:gradFill>
              <a:round/>
            </a:ln>
            <a:effectLst/>
          </c:spPr>
          <c:invertIfNegative val="0"/>
          <c:dLbls>
            <c:dLbl>
              <c:idx val="0"/>
              <c:layout>
                <c:manualLayout>
                  <c:x val="0.00304136253041363"/>
                  <c:y val="0.0275087175513367"/>
                </c:manualLayout>
              </c:layout>
              <c:dLblPos val="l"/>
              <c:showLegendKey val="0"/>
              <c:showVal val="0"/>
              <c:showCatName val="0"/>
              <c:showSerName val="0"/>
              <c:showPercent val="0"/>
              <c:showBubbleSize val="0"/>
              <c:extLst>
                <c:ext xmlns:c15="http://schemas.microsoft.com/office/drawing/2012/chart" uri="{CE6537A1-D6FC-4f65-9D91-7224C49458BB}">
                  <c15:layout>
                    <c:manualLayout>
                      <c:w val="0.243246323948478"/>
                      <c:h val="0.107260726072607"/>
                    </c:manualLayout>
                  </c15:layout>
                  <c15:dlblFieldTable/>
                  <c15:showDataLabelsRange val="1"/>
                </c:ext>
              </c:extLst>
            </c:dLbl>
            <c:dLbl>
              <c:idx val="1"/>
              <c:layout/>
              <c:dLblPos val="l"/>
              <c:showLegendKey val="0"/>
              <c:showVal val="0"/>
              <c:showCatName val="0"/>
              <c:showSerName val="0"/>
              <c:showPercent val="0"/>
              <c:showBubbleSize val="0"/>
              <c:extLst>
                <c:ext xmlns:c15="http://schemas.microsoft.com/office/drawing/2012/chart" uri="{CE6537A1-D6FC-4f65-9D91-7224C49458BB}">
                  <c15:layout>
                    <c:manualLayout>
                      <c:w val="0.242220449105209"/>
                      <c:h val="0.107260726072607"/>
                    </c:manualLayout>
                  </c15:layout>
                  <c15:dlblFieldTable/>
                  <c15:showDataLabelsRange val="1"/>
                </c:ext>
              </c:extLst>
            </c:dLbl>
            <c:dLbl>
              <c:idx val="2"/>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3"/>
              <c:layout/>
              <c:dLblPos val="l"/>
              <c:showLegendKey val="0"/>
              <c:showVal val="0"/>
              <c:showCatName val="0"/>
              <c:showSerName val="0"/>
              <c:showPercent val="0"/>
              <c:showBubbleSize val="0"/>
              <c:extLst>
                <c:ext xmlns:c15="http://schemas.microsoft.com/office/drawing/2012/chart" uri="{CE6537A1-D6FC-4f65-9D91-7224C49458BB}">
                  <c15:layout>
                    <c:manualLayout>
                      <c:w val="0.238002963638436"/>
                      <c:h val="0.0742574257425743"/>
                    </c:manualLayout>
                  </c15:layout>
                  <c15:dlblFieldTable/>
                  <c15:showDataLabelsRange val="1"/>
                </c:ext>
              </c:extLst>
            </c:dLbl>
            <c:dLbl>
              <c:idx val="4"/>
              <c:layout>
                <c:manualLayout>
                  <c:x val="-0.00273566624871766"/>
                  <c:y val="0.00316281628162816"/>
                </c:manualLayout>
              </c:layout>
              <c:dLblPos val="l"/>
              <c:showLegendKey val="0"/>
              <c:showVal val="0"/>
              <c:showCatName val="0"/>
              <c:showSerName val="0"/>
              <c:showPercent val="0"/>
              <c:showBubbleSize val="0"/>
              <c:extLst>
                <c:ext xmlns:c15="http://schemas.microsoft.com/office/drawing/2012/chart" uri="{CE6537A1-D6FC-4f65-9D91-7224C49458BB}">
                  <c15:layout/>
                  <c15:dlblFieldTable/>
                  <c15:showDataLabelsRange val="1"/>
                </c:ext>
              </c:extLst>
            </c:dLbl>
            <c:dLbl>
              <c:idx val="5"/>
              <c:layout>
                <c:manualLayout>
                  <c:x val="0"/>
                  <c:y val="0.00632563256325633"/>
                </c:manualLayout>
              </c:layout>
              <c:dLblPos val="l"/>
              <c:showLegendKey val="0"/>
              <c:showVal val="0"/>
              <c:showCatName val="0"/>
              <c:showSerName val="0"/>
              <c:showPercent val="0"/>
              <c:showBubbleSize val="0"/>
              <c:extLst>
                <c:ext xmlns:c15="http://schemas.microsoft.com/office/drawing/2012/chart" uri="{CE6537A1-D6FC-4f65-9D91-7224C49458BB}">
                  <c15:layout>
                    <c:manualLayout>
                      <c:w val="0.242220449105209"/>
                      <c:h val="0.107260726072607"/>
                    </c:manualLayout>
                  </c15:layout>
                  <c15:dlblFieldTable/>
                  <c15:showDataLabelsRange val="1"/>
                </c:ext>
              </c:extLst>
            </c:dLbl>
            <c:dLbl>
              <c:idx val="6"/>
              <c:layout/>
              <c:dLblPos val="l"/>
              <c:showLegendKey val="0"/>
              <c:showVal val="0"/>
              <c:showCatName val="0"/>
              <c:showSerName val="0"/>
              <c:showPercent val="0"/>
              <c:showBubbleSize val="0"/>
              <c:extLst>
                <c:ext xmlns:c15="http://schemas.microsoft.com/office/drawing/2012/chart" uri="{CE6537A1-D6FC-4f65-9D91-7224C49458BB}">
                  <c15:layout>
                    <c:manualLayout>
                      <c:w val="0.247463809415251"/>
                      <c:h val="0.0742574257425743"/>
                    </c:manualLayout>
                  </c15:layout>
                  <c15:dlblFieldTable/>
                  <c15:showDataLabelsRange val="1"/>
                </c:ext>
              </c:extLst>
            </c:dLbl>
            <c:dLbl>
              <c:idx val="7"/>
              <c:layout/>
              <c:dLblPos val="l"/>
              <c:showLegendKey val="0"/>
              <c:showVal val="0"/>
              <c:showCatName val="0"/>
              <c:showSerName val="0"/>
              <c:showPercent val="0"/>
              <c:showBubbleSize val="0"/>
              <c:extLst>
                <c:ext xmlns:c15="http://schemas.microsoft.com/office/drawing/2012/chart" uri="{CE6537A1-D6FC-4f65-9D91-7224C49458BB}">
                  <c15:layout>
                    <c:manualLayout>
                      <c:w val="0.250085489570272"/>
                      <c:h val="0.0742574257425743"/>
                    </c:manualLayout>
                  </c15:layout>
                  <c15:dlblFieldTable/>
                  <c15:showDataLabelsRange val="1"/>
                </c:ext>
              </c:extLst>
            </c:dLbl>
            <c:dLbl>
              <c:idx val="8"/>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dLbl>
              <c:idx val="9"/>
              <c:layout>
                <c:manualLayout>
                  <c:x val="0.00136783312435883"/>
                  <c:y val="0"/>
                </c:manualLayout>
              </c:layout>
              <c:dLblPos val="l"/>
              <c:showLegendKey val="0"/>
              <c:showVal val="0"/>
              <c:showCatName val="0"/>
              <c:showSerName val="0"/>
              <c:showPercent val="0"/>
              <c:showBubbleSize val="0"/>
              <c:extLst>
                <c:ext xmlns:c15="http://schemas.microsoft.com/office/drawing/2012/chart" uri="{CE6537A1-D6FC-4f65-9D91-7224C49458BB}">
                  <c15:layout>
                    <c:manualLayout>
                      <c:w val="0.243474296135871"/>
                      <c:h val="0.107535753575358"/>
                    </c:manualLayout>
                  </c15:layout>
                  <c15:dlblFieldTable/>
                  <c15:showDataLabelsRange val="1"/>
                </c:ext>
              </c:extLst>
            </c:dLbl>
            <c:dLbl>
              <c:idx val="10"/>
              <c:layout/>
              <c:dLblPos val="l"/>
              <c:showLegendKey val="0"/>
              <c:showVal val="0"/>
              <c:showCatName val="0"/>
              <c:showSerName val="0"/>
              <c:showPercent val="0"/>
              <c:showBubbleSize val="0"/>
              <c:extLst>
                <c:ext xmlns:c15="http://schemas.microsoft.com/office/drawing/2012/chart" uri="{CE6537A1-D6FC-4f65-9D91-7224C49458BB}">
                  <c15:layout/>
                  <c15:dlblFieldTable/>
                  <c15:xForSave val="1"/>
                  <c15:showDataLabelsRange val="1"/>
                </c:ext>
              </c:extLst>
            </c:dLbl>
            <c:spPr>
              <a:noFill/>
              <a:ln>
                <a:noFill/>
              </a:ln>
              <a:effectLst/>
            </c:spPr>
            <c:txPr>
              <a:bodyPr rot="0" spcFirstLastPara="0" vertOverflow="ellipsis" vert="horz" wrap="square" lIns="38100" tIns="19050" rIns="38100" bIns="19050" anchor="ctr" anchorCtr="0"/>
              <a:lstStyle/>
              <a:p>
                <a:pPr algn="r">
                  <a:defRPr lang="zh-CN" sz="1000" b="0" i="0" u="none" strike="noStrike" kern="1200" baseline="0">
                    <a:solidFill>
                      <a:sysClr val="windowText" lastClr="000000"/>
                    </a:solidFill>
                    <a:latin typeface="+mn-lt"/>
                    <a:ea typeface="+mn-ea"/>
                    <a:cs typeface="+mn-cs"/>
                  </a:defRPr>
                </a:pPr>
              </a:p>
            </c:txPr>
            <c:dLblPos val="l"/>
            <c:showLegendKey val="0"/>
            <c:showVal val="0"/>
            <c:showCatName val="0"/>
            <c:showSerName val="0"/>
            <c:showPercent val="0"/>
            <c:showBubbleSize val="0"/>
            <c:showLeaderLines val="0"/>
            <c:extLst>
              <c:ext xmlns:c15="http://schemas.microsoft.com/office/drawing/2012/chart" uri="{CE6537A1-D6FC-4f65-9D91-7224C49458BB}">
                <c15:layout/>
                <c15:showDataLabelsRange val="1"/>
                <c15:showLeaderLines val="0"/>
                <c15:leaderLines>
                  <c:spPr>
                    <a:ln w="9525">
                      <a:solidFill>
                        <a:schemeClr val="dk1">
                          <a:lumMod val="35000"/>
                          <a:lumOff val="65000"/>
                        </a:schemeClr>
                      </a:solidFill>
                    </a:ln>
                    <a:effectLst/>
                  </c:spPr>
                </c15:leaderLines>
              </c:ext>
            </c:extLst>
          </c:dLbls>
          <c:xVal>
            <c:numRef>
              <c:f>'[3简报数据图表.xlsx]1气泡图'!$C$16:$C$26</c:f>
              <c:numCache>
                <c:formatCode>General</c:formatCode>
                <c:ptCount val="11"/>
                <c:pt idx="0">
                  <c:v>0</c:v>
                </c:pt>
                <c:pt idx="1">
                  <c:v>0</c:v>
                </c:pt>
                <c:pt idx="2">
                  <c:v>0</c:v>
                </c:pt>
                <c:pt idx="3">
                  <c:v>0</c:v>
                </c:pt>
                <c:pt idx="4">
                  <c:v>0</c:v>
                </c:pt>
                <c:pt idx="5">
                  <c:v>0</c:v>
                </c:pt>
                <c:pt idx="6">
                  <c:v>0</c:v>
                </c:pt>
                <c:pt idx="7">
                  <c:v>0</c:v>
                </c:pt>
                <c:pt idx="8">
                  <c:v>0</c:v>
                </c:pt>
                <c:pt idx="9">
                  <c:v>0</c:v>
                </c:pt>
                <c:pt idx="10">
                  <c:v>0</c:v>
                </c:pt>
              </c:numCache>
            </c:numRef>
          </c:xVal>
          <c:yVal>
            <c:numRef>
              <c:f>'[3简报数据图表.xlsx]1气泡图'!$D$16:$N$16</c:f>
              <c:numCache>
                <c:formatCode>General</c:formatCode>
                <c:ptCount val="11"/>
                <c:pt idx="0">
                  <c:v>1</c:v>
                </c:pt>
                <c:pt idx="1">
                  <c:v>2</c:v>
                </c:pt>
                <c:pt idx="2">
                  <c:v>3</c:v>
                </c:pt>
                <c:pt idx="3">
                  <c:v>4</c:v>
                </c:pt>
                <c:pt idx="4">
                  <c:v>5</c:v>
                </c:pt>
                <c:pt idx="5">
                  <c:v>6</c:v>
                </c:pt>
                <c:pt idx="6">
                  <c:v>7</c:v>
                </c:pt>
                <c:pt idx="7">
                  <c:v>8</c:v>
                </c:pt>
                <c:pt idx="8">
                  <c:v>9</c:v>
                </c:pt>
                <c:pt idx="9">
                  <c:v>10</c:v>
                </c:pt>
                <c:pt idx="10">
                  <c:v>11</c:v>
                </c:pt>
              </c:numCache>
            </c:numRef>
          </c:yVal>
          <c:bubbleSize>
            <c:numRef>
              <c:f>'[3简报数据图表.xlsx]1气泡图'!$A$16:$A$25</c:f>
              <c:numCache>
                <c:formatCode>General</c:formatCode>
                <c:ptCount val="10"/>
                <c:pt idx="0">
                  <c:v>0.01</c:v>
                </c:pt>
                <c:pt idx="1">
                  <c:v>0.01</c:v>
                </c:pt>
                <c:pt idx="2">
                  <c:v>0.01</c:v>
                </c:pt>
                <c:pt idx="3">
                  <c:v>0.01</c:v>
                </c:pt>
                <c:pt idx="4">
                  <c:v>0.01</c:v>
                </c:pt>
                <c:pt idx="5">
                  <c:v>0.01</c:v>
                </c:pt>
                <c:pt idx="6">
                  <c:v>0.01</c:v>
                </c:pt>
                <c:pt idx="7">
                  <c:v>0.01</c:v>
                </c:pt>
                <c:pt idx="8">
                  <c:v>0.01</c:v>
                </c:pt>
                <c:pt idx="9">
                  <c:v>0.01</c:v>
                </c:pt>
              </c:numCache>
            </c:numRef>
          </c:bubbleSize>
          <c:bubble3D val="0"/>
          <c:extLst>
            <c:ext xmlns:c15="http://schemas.microsoft.com/office/drawing/2012/chart" uri="{02D57815-91ED-43cb-92C2-25804820EDAC}">
              <c15:datalabelsRange>
                <c15:f>'1气泡图'!$A$2:$A$11</c15:f>
                <c15:dlblRangeCache>
                  <c:ptCount val="10"/>
                  <c:pt idx="0">
                    <c:v>中国电建集团华东勘测设计研究院有限公司</c:v>
                  </c:pt>
                  <c:pt idx="1">
                    <c:v>中国华能集团清洁能源技术研究院有限公司</c:v>
                  </c:pt>
                  <c:pt idx="2">
                    <c:v>天津大学</c:v>
                  </c:pt>
                  <c:pt idx="3">
                    <c:v>中交第三航务工程局有限公司</c:v>
                  </c:pt>
                  <c:pt idx="4">
                    <c:v>大连理工大学</c:v>
                  </c:pt>
                  <c:pt idx="5">
                    <c:v>中国能源建设集团广东省电力设计研究院有限公司</c:v>
                  </c:pt>
                  <c:pt idx="6">
                    <c:v>上海勘测设计研究院有限公司</c:v>
                  </c:pt>
                  <c:pt idx="7">
                    <c:v>中国长江三峡集团有限公司</c:v>
                  </c:pt>
                  <c:pt idx="8">
                    <c:v>浙江大学</c:v>
                  </c:pt>
                  <c:pt idx="9">
                    <c:v>华能(浙江)能源开发有限公司清洁能源分公司</c:v>
                  </c:pt>
                </c15:dlblRangeCache>
              </c15:datalabelsRange>
            </c:ext>
          </c:extLst>
        </c:ser>
        <c:dLbls>
          <c:showLegendKey val="0"/>
          <c:showVal val="0"/>
          <c:showCatName val="0"/>
          <c:showSerName val="0"/>
          <c:showPercent val="0"/>
          <c:showBubbleSize val="0"/>
        </c:dLbls>
        <c:bubbleScale val="45"/>
        <c:showNegBubbles val="0"/>
        <c:sizeRepresents val="area"/>
        <c:axId val="77979023"/>
        <c:axId val="943885176"/>
      </c:bubbleChart>
      <c:valAx>
        <c:axId val="77979023"/>
        <c:scaling>
          <c:orientation val="minMax"/>
          <c:max val="11"/>
          <c:min val="0"/>
        </c:scaling>
        <c:delete val="1"/>
        <c:axPos val="b"/>
        <c:majorGridlines>
          <c:spPr>
            <a:ln w="9525" cap="flat" cmpd="sng" algn="ctr">
              <a:solidFill>
                <a:schemeClr val="lt1">
                  <a:lumMod val="90200"/>
                </a:schemeClr>
              </a:soli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943885176"/>
        <c:crosses val="autoZero"/>
        <c:crossBetween val="midCat"/>
        <c:majorUnit val="1"/>
        <c:minorUnit val="0.2"/>
      </c:valAx>
      <c:valAx>
        <c:axId val="943885176"/>
        <c:scaling>
          <c:orientation val="minMax"/>
          <c:max val="10.5"/>
          <c:min val="-0.5"/>
        </c:scaling>
        <c:delete val="1"/>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ysClr val="windowText" lastClr="000000"/>
                </a:solidFill>
                <a:latin typeface="+mn-lt"/>
                <a:ea typeface="+mn-ea"/>
                <a:cs typeface="+mn-cs"/>
              </a:defRPr>
            </a:pPr>
          </a:p>
        </c:txPr>
        <c:crossAx val="77979023"/>
        <c:crosses val="autoZero"/>
        <c:crossBetween val="midCat"/>
        <c:majorUnit val="1"/>
      </c:valAx>
      <c:spPr>
        <a:noFill/>
        <a:ln>
          <a:noFill/>
        </a:ln>
        <a:effectLst/>
      </c:spPr>
    </c:plotArea>
    <c:plotVisOnly val="1"/>
    <c:dispBlanksAs val="gap"/>
    <c:showDLblsOverMax val="0"/>
    <c:extLst>
      <c:ext uri="{0b15fc19-7d7d-44ad-8c2d-2c3a37ce22c3}">
        <chartProps xmlns="https://web.wps.cn/et/2018/main" chartId="{b5b602e9-6c9d-4962-a891-1174eaa7b09e}"/>
      </c:ext>
    </c:extLst>
  </c:chart>
  <c:spPr>
    <a:solidFill>
      <a:sysClr val="window" lastClr="FFFFFF"/>
    </a:solidFill>
    <a:ln w="9525" cap="flat" cmpd="sng" algn="ctr">
      <a:solidFill>
        <a:schemeClr val="tx1">
          <a:lumMod val="15000"/>
          <a:lumOff val="85000"/>
        </a:schemeClr>
      </a:solidFill>
      <a:round/>
    </a:ln>
    <a:effectLst/>
  </c:spPr>
  <c:txPr>
    <a:bodyPr/>
    <a:lstStyle/>
    <a:p>
      <a:pPr>
        <a:defRPr lang="zh-CN">
          <a:solidFill>
            <a:sysClr val="windowText" lastClr="000000"/>
          </a:solidFill>
        </a:defRPr>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 id="14">
  <a:schemeClr val="accent1"/>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71">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0">
      <cs:styleClr val="auto"/>
    </cs:fillRef>
    <cs:effectRef idx="0">
      <cs:styleClr val="auto"/>
    </cs:effectRef>
    <cs:fontRef idx="minor">
      <a:schemeClr val="dk1"/>
    </cs:fontRef>
    <cs:spPr>
      <a:ln w="28575" cap="rnd">
        <a:solidFill>
          <a:schemeClr val="phClr"/>
        </a:solidFill>
        <a:round/>
      </a:ln>
      <a:effectLst>
        <a:outerShdw blurRad="50800" dist="25400" dir="5400000" algn="t" rotWithShape="0">
          <a:schemeClr val="phClr">
            <a:lumMod val="50000"/>
            <a:alpha val="30000"/>
          </a:schemeClr>
        </a:outerShdw>
      </a:effectLst>
    </cs:spPr>
  </cs:dataPointLine>
  <cs:dataPointMarker>
    <cs:lnRef idx="0">
      <cs:styleClr val="auto"/>
    </cs:lnRef>
    <cs:fillRef idx="1">
      <cs:styleClr val="auto"/>
    </cs:fillRef>
    <cs:effectRef idx="0">
      <cs:styleClr val="auto"/>
    </cs:effectRef>
    <cs:fontRef idx="minor">
      <a:schemeClr val="dk1"/>
    </cs:fontRef>
    <cs:spPr>
      <a:ln w="19050">
        <a:solidFill>
          <a:schemeClr val="lt1"/>
        </a:solidFill>
      </a:ln>
      <a:effectLst>
        <a:outerShdw blurRad="50800" dist="25400" dir="5400000" algn="t" rotWithShape="0">
          <a:schemeClr val="phClr">
            <a:lumMod val="50000"/>
            <a:alpha val="30000"/>
          </a:schemeClr>
        </a:outerShdw>
      </a:effectLst>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124">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10800000" scaled="0"/>
      </a:gradFill>
      <a:ln>
        <a:gradFill>
          <a:gsLst>
            <a:gs pos="100000">
              <a:schemeClr val="phClr">
                <a:lumMod val="75000"/>
              </a:schemeClr>
            </a:gs>
            <a:gs pos="0">
              <a:schemeClr val="phClr">
                <a:lumMod val="75000"/>
                <a:hueOff val="-1670000"/>
              </a:schemeClr>
            </a:gs>
          </a:gsLst>
          <a:lin ang="1080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23">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2700000" scaled="0"/>
      </a:gradFill>
      <a:ln w="9525" cap="rnd">
        <a:gradFill>
          <a:gsLst>
            <a:gs pos="100000">
              <a:schemeClr val="phClr">
                <a:lumMod val="75000"/>
              </a:schemeClr>
            </a:gs>
            <a:gs pos="0">
              <a:schemeClr val="phClr">
                <a:lumMod val="75000"/>
                <a:hueOff val="-1670000"/>
              </a:schemeClr>
            </a:gs>
          </a:gsLst>
          <a:lin ang="2700000" scaled="0"/>
        </a:gradFill>
        <a:round/>
      </a:ln>
      <a:effectLst/>
      <a:sp3d contourW="9525"/>
    </cs:spPr>
  </cs:dataPoint>
  <cs:dataPoint3D>
    <cs:lnRef idx="0"/>
    <cs:fillRef idx="1">
      <cs:styleClr val="auto"/>
    </cs:fillRef>
    <cs:effectRef idx="0"/>
    <cs:fontRef idx="minor">
      <a:schemeClr val="tx1"/>
    </cs:fontRef>
    <cs:spPr>
      <a:solidFill>
        <a:schemeClr val="phClr">
          <a:alpha val="75000"/>
        </a:schemeClr>
      </a:solidFill>
    </cs:spPr>
  </cs:dataPoint3D>
  <cs:dataPointLine>
    <cs:lnRef idx="0">
      <cs:styleClr val="auto"/>
    </cs:lnRef>
    <cs:fillRef idx="1"/>
    <cs:effectRef idx="0"/>
    <cs:fontRef idx="minor">
      <a:schemeClr val="tx1"/>
    </cs:fontRef>
    <cs:spPr>
      <a:ln w="19050" cap="rnd">
        <a:solidFill>
          <a:schemeClr val="phClr">
            <a:alpha val="50000"/>
          </a:scheme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0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4545</Words>
  <Characters>4961</Characters>
  <Lines>5</Lines>
  <Paragraphs>1</Paragraphs>
  <TotalTime>34</TotalTime>
  <ScaleCrop>false</ScaleCrop>
  <LinksUpToDate>false</LinksUpToDate>
  <CharactersWithSpaces>5028</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2022-04-26T14:35:00Z</dcterms:created>
  <dc:creator>Administrator</dc:creator>
  <cp:lastModifiedBy>Siyu</cp:lastModifiedBy>
  <dcterms:modified xsi:type="dcterms:W3CDTF">2024-10-12T06:46:49Z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3F9F7704CE114630B6B26AD1792DD4E6_13</vt:lpwstr>
  </property>
</Properties>
</file>