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80488">
      <w:pPr>
        <w:pageBreakBefore/>
        <w:spacing w:before="0" w:after="40" w:line="480" w:lineRule="exact"/>
        <w:jc w:val="left"/>
      </w:pPr>
      <w:r>
        <w:rPr>
          <w:rFonts w:ascii="黑体" w:hAnsi="黑体" w:eastAsia="黑体" w:cs="黑体"/>
          <w:b w:val="0"/>
          <w:sz w:val="32"/>
        </w:rPr>
        <w:t>附件1</w:t>
      </w:r>
    </w:p>
    <w:p w14:paraId="4AF33855">
      <w:pPr>
        <w:spacing w:before="0" w:after="80" w:line="480" w:lineRule="exact"/>
        <w:jc w:val="center"/>
        <w:rPr>
          <w:rFonts w:hint="eastAsia" w:eastAsia="方正小标宋简体"/>
          <w:lang w:eastAsia="zh-CN"/>
        </w:rPr>
      </w:pPr>
      <w:bookmarkStart w:id="0" w:name="_GoBack"/>
      <w:r>
        <w:rPr>
          <w:rFonts w:ascii="方正小标宋简体" w:hAnsi="方正小标宋简体" w:eastAsia="方正小标宋简体" w:cs="方正小标宋简体"/>
          <w:b w:val="0"/>
          <w:sz w:val="32"/>
        </w:rPr>
        <w:t>陆丰市农村生活污水治理成效及短板自查确认表</w:t>
      </w:r>
      <w:r>
        <w:rPr>
          <w:rFonts w:hint="eastAsia" w:ascii="方正小标宋简体" w:hAnsi="方正小标宋简体" w:eastAsia="方正小标宋简体" w:cs="方正小标宋简体"/>
          <w:b w:val="0"/>
          <w:sz w:val="32"/>
          <w:lang w:eastAsia="zh-CN"/>
        </w:rPr>
        <w:t>（网上征集意见版）</w:t>
      </w:r>
    </w:p>
    <w:bookmarkEnd w:id="0"/>
    <w:tbl>
      <w:tblPr>
        <w:tblStyle w:val="3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45" w:type="dxa"/>
          <w:bottom w:w="0" w:type="dxa"/>
          <w:right w:w="45" w:type="dxa"/>
        </w:tblCellMar>
      </w:tblPr>
      <w:tblGrid>
        <w:gridCol w:w="657"/>
        <w:gridCol w:w="1613"/>
        <w:gridCol w:w="936"/>
        <w:gridCol w:w="6532"/>
        <w:gridCol w:w="1354"/>
        <w:gridCol w:w="2956"/>
      </w:tblGrid>
      <w:tr w14:paraId="7B47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6"/>
            <w:vAlign w:val="center"/>
          </w:tcPr>
          <w:p w14:paraId="2D675ECB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一、基本情况</w:t>
            </w:r>
          </w:p>
        </w:tc>
      </w:tr>
      <w:tr w14:paraId="0C2C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6"/>
            <w:vAlign w:val="center"/>
          </w:tcPr>
          <w:p w14:paraId="69097A1C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镇（街道）：　　　　　　　　行政村（社区）：　　　　　　　　自然村：　　　　　　　　</w:t>
            </w:r>
          </w:p>
        </w:tc>
      </w:tr>
      <w:tr w14:paraId="5103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6"/>
            <w:vAlign w:val="center"/>
          </w:tcPr>
          <w:p w14:paraId="4BCEBB23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治理模式：□纳入城镇污水处理厂　□建设农村生活污水处理设施　□资源化利用（自然消纳）　□其他：　　　　　　</w:t>
            </w:r>
          </w:p>
        </w:tc>
      </w:tr>
      <w:tr w14:paraId="60960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6"/>
            <w:vAlign w:val="center"/>
          </w:tcPr>
          <w:p w14:paraId="4A885A08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户籍户数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户；常住户数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户；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常住人口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none"/>
                <w:lang w:val="en-US" w:eastAsia="zh-CN"/>
              </w:rPr>
              <w:t xml:space="preserve"> 人；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已治理户数（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直接、间接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接入管网／纳入设施）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户。</w:t>
            </w:r>
          </w:p>
        </w:tc>
      </w:tr>
      <w:tr w14:paraId="0548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80" w:hRule="exact"/>
          <w:jc w:val="center"/>
        </w:trPr>
        <w:tc>
          <w:tcPr>
            <w:tcW w:w="5000" w:type="pct"/>
            <w:gridSpan w:val="6"/>
            <w:vAlign w:val="center"/>
          </w:tcPr>
          <w:p w14:paraId="1CD963DF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已建治理设施名称：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处理工艺：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设计规模：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吨／日；建成投运时间：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</w:rPr>
              <w:t>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月。</w:t>
            </w:r>
          </w:p>
        </w:tc>
      </w:tr>
      <w:tr w14:paraId="01A4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10" w:hRule="exact"/>
          <w:jc w:val="center"/>
        </w:trPr>
        <w:tc>
          <w:tcPr>
            <w:tcW w:w="5000" w:type="pct"/>
            <w:gridSpan w:val="6"/>
            <w:vAlign w:val="center"/>
          </w:tcPr>
          <w:p w14:paraId="1F83914F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二、“三基本”治理成效自查</w:t>
            </w:r>
          </w:p>
        </w:tc>
      </w:tr>
      <w:tr w14:paraId="6DC9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67" w:hRule="exact"/>
          <w:jc w:val="center"/>
        </w:trPr>
        <w:tc>
          <w:tcPr>
            <w:tcW w:w="234" w:type="pct"/>
            <w:vAlign w:val="center"/>
          </w:tcPr>
          <w:p w14:paraId="3EDBA76E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序号</w:t>
            </w:r>
          </w:p>
        </w:tc>
        <w:tc>
          <w:tcPr>
            <w:tcW w:w="907" w:type="pct"/>
            <w:gridSpan w:val="2"/>
            <w:vAlign w:val="center"/>
          </w:tcPr>
          <w:p w14:paraId="4A42A5AB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自查项目</w:t>
            </w:r>
          </w:p>
        </w:tc>
        <w:tc>
          <w:tcPr>
            <w:tcW w:w="2324" w:type="pct"/>
            <w:vAlign w:val="center"/>
          </w:tcPr>
          <w:p w14:paraId="0B5BA0BF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自查内容与判定标准</w:t>
            </w:r>
          </w:p>
        </w:tc>
        <w:tc>
          <w:tcPr>
            <w:tcW w:w="482" w:type="pct"/>
            <w:vAlign w:val="center"/>
          </w:tcPr>
          <w:p w14:paraId="4FD4D04C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自查结论</w:t>
            </w:r>
          </w:p>
        </w:tc>
        <w:tc>
          <w:tcPr>
            <w:tcW w:w="1049" w:type="pct"/>
            <w:vAlign w:val="center"/>
          </w:tcPr>
          <w:p w14:paraId="59617F99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具体情况及佐证照片编号</w:t>
            </w:r>
          </w:p>
        </w:tc>
      </w:tr>
      <w:tr w14:paraId="1DAA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67" w:hRule="exact"/>
          <w:jc w:val="center"/>
        </w:trPr>
        <w:tc>
          <w:tcPr>
            <w:tcW w:w="234" w:type="pct"/>
            <w:vAlign w:val="center"/>
          </w:tcPr>
          <w:p w14:paraId="770C027B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907" w:type="pct"/>
            <w:gridSpan w:val="2"/>
            <w:vAlign w:val="center"/>
          </w:tcPr>
          <w:p w14:paraId="0092BEB3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基本看不到污水横流</w:t>
            </w:r>
          </w:p>
        </w:tc>
        <w:tc>
          <w:tcPr>
            <w:tcW w:w="2324" w:type="pct"/>
            <w:vAlign w:val="center"/>
          </w:tcPr>
          <w:p w14:paraId="462B261A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公共空间基本没有生活污水乱倒乱排现象。</w:t>
            </w:r>
          </w:p>
        </w:tc>
        <w:tc>
          <w:tcPr>
            <w:tcW w:w="482" w:type="pct"/>
            <w:vAlign w:val="center"/>
          </w:tcPr>
          <w:p w14:paraId="74C29A49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□达标</w:t>
            </w:r>
          </w:p>
          <w:p w14:paraId="2B12E0C5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□不达标</w:t>
            </w:r>
          </w:p>
        </w:tc>
        <w:tc>
          <w:tcPr>
            <w:tcW w:w="1049" w:type="pct"/>
            <w:vAlign w:val="center"/>
          </w:tcPr>
          <w:p w14:paraId="659E195E">
            <w:pPr>
              <w:snapToGrid w:val="0"/>
              <w:spacing w:before="0" w:after="0" w:line="250" w:lineRule="exact"/>
              <w:ind w:firstLine="482" w:firstLineChars="2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另附</w:t>
            </w:r>
          </w:p>
        </w:tc>
      </w:tr>
      <w:tr w14:paraId="0FE3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98" w:hRule="exact"/>
          <w:jc w:val="center"/>
        </w:trPr>
        <w:tc>
          <w:tcPr>
            <w:tcW w:w="234" w:type="pct"/>
            <w:vAlign w:val="center"/>
          </w:tcPr>
          <w:p w14:paraId="72733FCB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907" w:type="pct"/>
            <w:gridSpan w:val="2"/>
            <w:vAlign w:val="center"/>
          </w:tcPr>
          <w:p w14:paraId="299202C0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基本闻不到臭味</w:t>
            </w:r>
          </w:p>
        </w:tc>
        <w:tc>
          <w:tcPr>
            <w:tcW w:w="2324" w:type="pct"/>
            <w:vAlign w:val="center"/>
          </w:tcPr>
          <w:p w14:paraId="0A8FEA6E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公共空间或房前屋后基本没有黑臭水体、臭水沟、臭水坑等。</w:t>
            </w:r>
          </w:p>
        </w:tc>
        <w:tc>
          <w:tcPr>
            <w:tcW w:w="482" w:type="pct"/>
            <w:vAlign w:val="center"/>
          </w:tcPr>
          <w:p w14:paraId="63D98C53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□达标</w:t>
            </w:r>
          </w:p>
          <w:p w14:paraId="0DC9FEF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□不达标</w:t>
            </w:r>
          </w:p>
        </w:tc>
        <w:tc>
          <w:tcPr>
            <w:tcW w:w="1049" w:type="pct"/>
            <w:vAlign w:val="center"/>
          </w:tcPr>
          <w:p w14:paraId="0E7907F6">
            <w:pPr>
              <w:snapToGrid w:val="0"/>
              <w:spacing w:before="0" w:after="0" w:line="250" w:lineRule="exact"/>
              <w:ind w:firstLine="482" w:firstLineChars="2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另附</w:t>
            </w:r>
          </w:p>
        </w:tc>
      </w:tr>
      <w:tr w14:paraId="049C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813" w:hRule="exact"/>
          <w:jc w:val="center"/>
        </w:trPr>
        <w:tc>
          <w:tcPr>
            <w:tcW w:w="234" w:type="pct"/>
            <w:vAlign w:val="center"/>
          </w:tcPr>
          <w:p w14:paraId="0E350915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907" w:type="pct"/>
            <w:gridSpan w:val="2"/>
            <w:vAlign w:val="center"/>
          </w:tcPr>
          <w:p w14:paraId="74413422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基本听不到村民怨言</w:t>
            </w:r>
          </w:p>
        </w:tc>
        <w:tc>
          <w:tcPr>
            <w:tcW w:w="2324" w:type="pct"/>
            <w:vAlign w:val="center"/>
          </w:tcPr>
          <w:p w14:paraId="4AFB9572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治理成效为多数村民群众认可，村民满意比例不低于60%（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本村满意比例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u w:val="single"/>
              </w:rPr>
              <w:t>　　　　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）。</w:t>
            </w:r>
          </w:p>
        </w:tc>
        <w:tc>
          <w:tcPr>
            <w:tcW w:w="482" w:type="pct"/>
            <w:vAlign w:val="center"/>
          </w:tcPr>
          <w:p w14:paraId="387BF39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□达标</w:t>
            </w:r>
          </w:p>
          <w:p w14:paraId="3D176E1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□不达标</w:t>
            </w:r>
          </w:p>
        </w:tc>
        <w:tc>
          <w:tcPr>
            <w:tcW w:w="1049" w:type="pct"/>
            <w:vAlign w:val="center"/>
          </w:tcPr>
          <w:p w14:paraId="3B60857B">
            <w:pPr>
              <w:snapToGrid w:val="0"/>
              <w:spacing w:before="0" w:after="0" w:line="250" w:lineRule="exact"/>
              <w:ind w:firstLine="482" w:firstLineChars="200"/>
              <w:jc w:val="left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另附</w:t>
            </w:r>
          </w:p>
        </w:tc>
      </w:tr>
      <w:tr w14:paraId="0CBD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920" w:hRule="exact"/>
          <w:jc w:val="center"/>
        </w:trPr>
        <w:tc>
          <w:tcPr>
            <w:tcW w:w="5000" w:type="pct"/>
            <w:gridSpan w:val="6"/>
            <w:vAlign w:val="center"/>
          </w:tcPr>
          <w:p w14:paraId="443AA2EE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说明：“三基本”表述与国家《农村环境整治成效评估工作指南（试行）》（环办土壤函〔2024〕227号）一致；“三基本”三项均达标且治理设施正常运行的，视为完成生活污水治理。处数门槛按我省标准（粤环函〔2025〕26号）从严执行。</w:t>
            </w:r>
          </w:p>
        </w:tc>
      </w:tr>
      <w:tr w14:paraId="16CC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5000" w:type="pct"/>
            <w:gridSpan w:val="6"/>
            <w:vAlign w:val="center"/>
          </w:tcPr>
          <w:p w14:paraId="5C5E169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三、短板自查</w:t>
            </w:r>
          </w:p>
        </w:tc>
      </w:tr>
      <w:tr w14:paraId="7978B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tblHeader/>
          <w:jc w:val="center"/>
        </w:trPr>
        <w:tc>
          <w:tcPr>
            <w:tcW w:w="234" w:type="pct"/>
            <w:vAlign w:val="center"/>
          </w:tcPr>
          <w:p w14:paraId="17564CB3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序号</w:t>
            </w:r>
          </w:p>
        </w:tc>
        <w:tc>
          <w:tcPr>
            <w:tcW w:w="574" w:type="pct"/>
            <w:vAlign w:val="center"/>
          </w:tcPr>
          <w:p w14:paraId="45C35C27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短板类别</w:t>
            </w:r>
          </w:p>
        </w:tc>
        <w:tc>
          <w:tcPr>
            <w:tcW w:w="2658" w:type="pct"/>
            <w:gridSpan w:val="2"/>
            <w:vAlign w:val="center"/>
          </w:tcPr>
          <w:p w14:paraId="71D01B88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自查要点</w:t>
            </w:r>
          </w:p>
        </w:tc>
        <w:tc>
          <w:tcPr>
            <w:tcW w:w="482" w:type="pct"/>
            <w:vAlign w:val="center"/>
          </w:tcPr>
          <w:p w14:paraId="20603D5B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是否存在</w:t>
            </w:r>
          </w:p>
        </w:tc>
        <w:tc>
          <w:tcPr>
            <w:tcW w:w="1049" w:type="pct"/>
            <w:vAlign w:val="center"/>
          </w:tcPr>
          <w:p w14:paraId="07FEA6D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具体情况（点位、处数、涉及户数）及佐证照片</w:t>
            </w:r>
          </w:p>
        </w:tc>
      </w:tr>
      <w:tr w14:paraId="51C30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7067CA0B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574" w:type="pct"/>
            <w:vAlign w:val="center"/>
          </w:tcPr>
          <w:p w14:paraId="3AF63FA4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治理设施运行</w:t>
            </w:r>
          </w:p>
        </w:tc>
        <w:tc>
          <w:tcPr>
            <w:tcW w:w="2658" w:type="pct"/>
            <w:gridSpan w:val="2"/>
            <w:vAlign w:val="center"/>
          </w:tcPr>
          <w:p w14:paraId="0B1778E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设施停运、闲置荒废、进水异常、出水不达标、设备损坏等。</w:t>
            </w:r>
          </w:p>
        </w:tc>
        <w:tc>
          <w:tcPr>
            <w:tcW w:w="482" w:type="pct"/>
            <w:vAlign w:val="center"/>
          </w:tcPr>
          <w:p w14:paraId="3A807BEC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74EEC4F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2FCD8C12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C7E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13ACF634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574" w:type="pct"/>
            <w:vAlign w:val="center"/>
          </w:tcPr>
          <w:p w14:paraId="4FB10ABF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管网收集</w:t>
            </w:r>
          </w:p>
        </w:tc>
        <w:tc>
          <w:tcPr>
            <w:tcW w:w="2658" w:type="pct"/>
            <w:gridSpan w:val="2"/>
            <w:vAlign w:val="center"/>
          </w:tcPr>
          <w:p w14:paraId="70932011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管网破损渗漏堵塞、雨污混接错接漏接、接户率偏低、污水转移排放等。</w:t>
            </w:r>
          </w:p>
        </w:tc>
        <w:tc>
          <w:tcPr>
            <w:tcW w:w="482" w:type="pct"/>
            <w:vAlign w:val="center"/>
          </w:tcPr>
          <w:p w14:paraId="0ACBF739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14D2032C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1F64DABF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791D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157F2818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574" w:type="pct"/>
            <w:vAlign w:val="center"/>
          </w:tcPr>
          <w:p w14:paraId="37746362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运维管护</w:t>
            </w:r>
          </w:p>
        </w:tc>
        <w:tc>
          <w:tcPr>
            <w:tcW w:w="2658" w:type="pct"/>
            <w:gridSpan w:val="2"/>
            <w:vAlign w:val="center"/>
          </w:tcPr>
          <w:p w14:paraId="672FF8D7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未落实运维单位、无管护制度、无巡查台账、运维经费无保障等。</w:t>
            </w:r>
          </w:p>
        </w:tc>
        <w:tc>
          <w:tcPr>
            <w:tcW w:w="482" w:type="pct"/>
            <w:vAlign w:val="center"/>
          </w:tcPr>
          <w:p w14:paraId="1EC370D1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39C57B2C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7E251228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702C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36A127EF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4</w:t>
            </w:r>
          </w:p>
        </w:tc>
        <w:tc>
          <w:tcPr>
            <w:tcW w:w="574" w:type="pct"/>
            <w:vAlign w:val="center"/>
          </w:tcPr>
          <w:p w14:paraId="44137E4D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环境感官</w:t>
            </w:r>
          </w:p>
        </w:tc>
        <w:tc>
          <w:tcPr>
            <w:tcW w:w="2658" w:type="pct"/>
            <w:gridSpan w:val="2"/>
            <w:vAlign w:val="center"/>
          </w:tcPr>
          <w:p w14:paraId="737F8DC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仍有污水横流、明显臭味、黑臭水体、臭水沟、厕所粪污直排或渗漏等。</w:t>
            </w:r>
          </w:p>
        </w:tc>
        <w:tc>
          <w:tcPr>
            <w:tcW w:w="482" w:type="pct"/>
            <w:vAlign w:val="center"/>
          </w:tcPr>
          <w:p w14:paraId="0AA902DE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47BC5A3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483652EE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FB8A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377E9DE1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5</w:t>
            </w:r>
          </w:p>
        </w:tc>
        <w:tc>
          <w:tcPr>
            <w:tcW w:w="574" w:type="pct"/>
            <w:vAlign w:val="center"/>
          </w:tcPr>
          <w:p w14:paraId="44680959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资源化利用</w:t>
            </w:r>
          </w:p>
        </w:tc>
        <w:tc>
          <w:tcPr>
            <w:tcW w:w="2658" w:type="pct"/>
            <w:gridSpan w:val="2"/>
            <w:vAlign w:val="center"/>
          </w:tcPr>
          <w:p w14:paraId="4BEF6F6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受纳体不足、雨季溢流、直排河涌沟渠、消纳利用不落实等。</w:t>
            </w:r>
          </w:p>
        </w:tc>
        <w:tc>
          <w:tcPr>
            <w:tcW w:w="482" w:type="pct"/>
            <w:vAlign w:val="center"/>
          </w:tcPr>
          <w:p w14:paraId="7CC7CF1B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174A4F46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5003B85F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F2A0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6D1A976E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6</w:t>
            </w:r>
          </w:p>
        </w:tc>
        <w:tc>
          <w:tcPr>
            <w:tcW w:w="574" w:type="pct"/>
            <w:vAlign w:val="center"/>
          </w:tcPr>
          <w:p w14:paraId="05C578CF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灾损修复</w:t>
            </w:r>
          </w:p>
        </w:tc>
        <w:tc>
          <w:tcPr>
            <w:tcW w:w="2658" w:type="pct"/>
            <w:gridSpan w:val="2"/>
            <w:vAlign w:val="center"/>
          </w:tcPr>
          <w:p w14:paraId="4A85C1EF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受2026年6月水灾、7月“红霞”台风影响，设施、管网受损尚未修复等。</w:t>
            </w:r>
          </w:p>
        </w:tc>
        <w:tc>
          <w:tcPr>
            <w:tcW w:w="482" w:type="pct"/>
            <w:vAlign w:val="center"/>
          </w:tcPr>
          <w:p w14:paraId="3A3080A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3D03ECB2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2DEC7EF5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FB9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0DE4C9C8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7</w:t>
            </w:r>
          </w:p>
        </w:tc>
        <w:tc>
          <w:tcPr>
            <w:tcW w:w="574" w:type="pct"/>
            <w:vAlign w:val="center"/>
          </w:tcPr>
          <w:p w14:paraId="4F7A0D58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群众诉求</w:t>
            </w:r>
          </w:p>
        </w:tc>
        <w:tc>
          <w:tcPr>
            <w:tcW w:w="2658" w:type="pct"/>
            <w:gridSpan w:val="2"/>
            <w:vAlign w:val="center"/>
          </w:tcPr>
          <w:p w14:paraId="47BF3C28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村民投诉举报未办结、村民满意比例低于60%等。</w:t>
            </w:r>
          </w:p>
        </w:tc>
        <w:tc>
          <w:tcPr>
            <w:tcW w:w="482" w:type="pct"/>
            <w:vAlign w:val="center"/>
          </w:tcPr>
          <w:p w14:paraId="1C9610A9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483F60D1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3CAECB2A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FD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737" w:hRule="exact"/>
          <w:jc w:val="center"/>
        </w:trPr>
        <w:tc>
          <w:tcPr>
            <w:tcW w:w="234" w:type="pct"/>
            <w:vAlign w:val="center"/>
          </w:tcPr>
          <w:p w14:paraId="584B9EDC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8</w:t>
            </w:r>
          </w:p>
        </w:tc>
        <w:tc>
          <w:tcPr>
            <w:tcW w:w="574" w:type="pct"/>
            <w:vAlign w:val="center"/>
          </w:tcPr>
          <w:p w14:paraId="753D8AF3">
            <w:pPr>
              <w:snapToGrid w:val="0"/>
              <w:spacing w:before="0" w:after="0" w:line="25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其他短板</w:t>
            </w:r>
          </w:p>
        </w:tc>
        <w:tc>
          <w:tcPr>
            <w:tcW w:w="2658" w:type="pct"/>
            <w:gridSpan w:val="2"/>
            <w:vAlign w:val="center"/>
          </w:tcPr>
          <w:p w14:paraId="1E0BAD22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上述类别未涵盖的其他短板情形。</w:t>
            </w:r>
          </w:p>
        </w:tc>
        <w:tc>
          <w:tcPr>
            <w:tcW w:w="482" w:type="pct"/>
            <w:vAlign w:val="center"/>
          </w:tcPr>
          <w:p w14:paraId="51566ADB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□存在</w:t>
            </w:r>
          </w:p>
          <w:p w14:paraId="3D580CCB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□不存在</w:t>
            </w:r>
          </w:p>
        </w:tc>
        <w:tc>
          <w:tcPr>
            <w:tcW w:w="1049" w:type="pct"/>
            <w:vAlign w:val="center"/>
          </w:tcPr>
          <w:p w14:paraId="7FD8DC66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B59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94" w:hRule="exact"/>
          <w:jc w:val="center"/>
        </w:trPr>
        <w:tc>
          <w:tcPr>
            <w:tcW w:w="5000" w:type="pct"/>
            <w:gridSpan w:val="6"/>
            <w:tcBorders>
              <w:bottom w:val="nil"/>
            </w:tcBorders>
            <w:vAlign w:val="center"/>
          </w:tcPr>
          <w:p w14:paraId="7A5387E0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四、自查结论</w:t>
            </w:r>
          </w:p>
        </w:tc>
      </w:tr>
      <w:tr w14:paraId="2D5A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834" w:hRule="exact"/>
          <w:jc w:val="center"/>
        </w:trPr>
        <w:tc>
          <w:tcPr>
            <w:tcW w:w="5000" w:type="pct"/>
            <w:gridSpan w:val="6"/>
            <w:tcBorders>
              <w:top w:val="nil"/>
            </w:tcBorders>
            <w:vAlign w:val="center"/>
          </w:tcPr>
          <w:p w14:paraId="28E3D023">
            <w:pPr>
              <w:snapToGrid w:val="0"/>
              <w:spacing w:before="0" w:after="0" w:line="250" w:lineRule="exact"/>
              <w:ind w:firstLine="48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本村农村生活污水治理“三基本”落实情况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：□全面达标，未发现短板；□存在短板共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项（见第三部分），其中属“未完成治理”情形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项。</w:t>
            </w:r>
          </w:p>
        </w:tc>
      </w:tr>
      <w:tr w14:paraId="3A89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vAlign w:val="center"/>
          </w:tcPr>
          <w:p w14:paraId="518B5A55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对照《广东省农村生活污水治理认定标准》（粤环函〔2025〕26号），本村是否存在“未完成治理”情形：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否</w:t>
            </w:r>
          </w:p>
        </w:tc>
      </w:tr>
      <w:tr w14:paraId="7D67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1547" w:hRule="exact"/>
          <w:jc w:val="center"/>
        </w:trPr>
        <w:tc>
          <w:tcPr>
            <w:tcW w:w="5000" w:type="pct"/>
            <w:gridSpan w:val="6"/>
            <w:vAlign w:val="center"/>
          </w:tcPr>
          <w:p w14:paraId="6363522B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是，具体情形为：□公共空间污水横流或明显臭味2处及以上；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厕所粪污直排且未有效消纳利用2处及以上；□排水沟渠积存污水且感官黑臭2处及以上；□上述三项加和3处及以上；□存在水域面积200平方米及以上或群众反映强烈的农村黑臭水体；□污水收集后转移排放；□村民满意比例低于60%。</w:t>
            </w:r>
          </w:p>
        </w:tc>
      </w:tr>
      <w:tr w14:paraId="12B3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2040" w:hRule="exact"/>
          <w:jc w:val="center"/>
        </w:trPr>
        <w:tc>
          <w:tcPr>
            <w:tcW w:w="5000" w:type="pct"/>
            <w:gridSpan w:val="6"/>
            <w:vAlign w:val="center"/>
          </w:tcPr>
          <w:p w14:paraId="4C7D2B1E">
            <w:pPr>
              <w:snapToGrid w:val="0"/>
              <w:spacing w:before="0" w:after="0" w:line="250" w:lineRule="exact"/>
              <w:jc w:val="left"/>
              <w:rPr>
                <w:rFonts w:hint="default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楷体_GB2312" w:hAnsi="方正楷体_GB2312" w:eastAsia="方正楷体_GB2312" w:cs="方正楷体_GB2312"/>
                <w:b/>
                <w:bCs/>
                <w:sz w:val="24"/>
                <w:szCs w:val="24"/>
              </w:rPr>
              <w:t>对照国家《农村环境整治成效评估工作指南（试行）》（环办土壤函〔2024〕227号），本村是否存在该指南所列判定情形（已达标项不需填报）</w:t>
            </w:r>
          </w:p>
          <w:p w14:paraId="2C7F1BF6">
            <w:pPr>
              <w:snapToGrid w:val="0"/>
              <w:spacing w:before="0" w:after="0" w:line="250" w:lineRule="exact"/>
              <w:ind w:firstLine="48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公共空间生活污水横流3处及以上；□厕所粪污直排或化粪池溢流3处及以上；□排水沟渠积存大量生活污水、生活垃圾和淤泥造成感官黑臭3处及以上；□村内及村庄周边、水体周边生活垃圾乱堆乱放3处及以上；□村庄内空地、散养密集区周边、农户房前屋后畜禽粪污乱排乱堆且群众不满意3处及以上；□上述五项加和6处及以上；□存在500立方米及以上非正规垃圾堆放点；□存在水域面积200平方米及以上农村黑臭水体；□污水收集后转移到村庄外直接排放；□存在上述情形，但属于指南规定可不判定（含因洪灾、暴雨等突发事件造成临时性不正常运行或临时性黑臭）的情形。</w:t>
            </w:r>
          </w:p>
        </w:tc>
      </w:tr>
      <w:tr w14:paraId="509A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26" w:hRule="exact"/>
          <w:jc w:val="center"/>
        </w:trPr>
        <w:tc>
          <w:tcPr>
            <w:tcW w:w="5000" w:type="pct"/>
            <w:gridSpan w:val="6"/>
            <w:vAlign w:val="center"/>
          </w:tcPr>
          <w:p w14:paraId="3B94551E">
            <w:pPr>
              <w:snapToGrid w:val="0"/>
              <w:spacing w:before="0" w:after="0" w:line="25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五、佐证材料清单</w:t>
            </w:r>
          </w:p>
        </w:tc>
      </w:tr>
      <w:tr w14:paraId="43D3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624" w:hRule="exact"/>
          <w:jc w:val="center"/>
        </w:trPr>
        <w:tc>
          <w:tcPr>
            <w:tcW w:w="5000" w:type="pct"/>
            <w:gridSpan w:val="6"/>
            <w:vAlign w:val="center"/>
          </w:tcPr>
          <w:p w14:paraId="5A9C1601">
            <w:pPr>
              <w:snapToGrid w:val="0"/>
              <w:spacing w:before="0" w:after="0" w:line="250" w:lineRule="exact"/>
              <w:jc w:val="left"/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sz w:val="24"/>
                <w:szCs w:val="24"/>
              </w:rPr>
              <w:t>现场照片共</w:t>
            </w:r>
            <w:r>
              <w:rPr>
                <w:rFonts w:hint="eastAsia" w:ascii="黑体" w:hAnsi="黑体" w:eastAsia="黑体" w:cs="黑体"/>
                <w:b w:val="0"/>
                <w:sz w:val="24"/>
                <w:szCs w:val="24"/>
                <w:u w:val="single"/>
              </w:rPr>
              <w:t>　　　</w:t>
            </w:r>
            <w:r>
              <w:rPr>
                <w:rFonts w:hint="eastAsia" w:ascii="黑体" w:hAnsi="黑体" w:eastAsia="黑体" w:cs="黑体"/>
                <w:b w:val="0"/>
                <w:sz w:val="24"/>
                <w:szCs w:val="24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（均使用“今日相机”等带时间、地点水印的拍照工具拍摄）　</w:t>
            </w:r>
          </w:p>
        </w:tc>
      </w:tr>
      <w:tr w14:paraId="209F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5" w:type="dxa"/>
            <w:bottom w:w="0" w:type="dxa"/>
            <w:right w:w="45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vAlign w:val="center"/>
          </w:tcPr>
          <w:p w14:paraId="68FA1673">
            <w:pPr>
              <w:snapToGrid w:val="0"/>
              <w:spacing w:before="0" w:after="0" w:line="250" w:lineRule="exact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</w:rPr>
              <w:t>六、</w:t>
            </w: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  <w:lang w:eastAsia="zh-CN"/>
              </w:rPr>
              <w:t>电表情况</w:t>
            </w:r>
            <w:r>
              <w:rPr>
                <w:rFonts w:hint="eastAsia" w:ascii="标准粗黑" w:hAnsi="标准粗黑" w:eastAsia="标准粗黑" w:cs="标准粗黑"/>
                <w:b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□独立电表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□户号不明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集体户头（村委会户头）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□私人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eastAsia="zh-CN"/>
              </w:rPr>
              <w:t>户头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sz w:val="24"/>
                <w:szCs w:val="24"/>
              </w:rPr>
              <w:t>□无电设施</w:t>
            </w:r>
          </w:p>
        </w:tc>
      </w:tr>
    </w:tbl>
    <w:p w14:paraId="354B45A9">
      <w:pPr>
        <w:spacing w:before="0" w:after="0" w:line="560" w:lineRule="exact"/>
        <w:ind w:right="1280"/>
        <w:jc w:val="both"/>
        <w:rPr>
          <w:rFonts w:ascii="仿宋_GB2312" w:hAnsi="仿宋_GB2312" w:eastAsia="仿宋_GB2312" w:cs="仿宋_GB2312"/>
          <w:b w:val="0"/>
          <w:sz w:val="32"/>
        </w:rPr>
      </w:pPr>
    </w:p>
    <w:p w14:paraId="3FC4E63E">
      <w:pPr>
        <w:spacing w:before="0" w:after="0" w:line="560" w:lineRule="exact"/>
        <w:ind w:right="1280"/>
        <w:jc w:val="both"/>
        <w:rPr>
          <w:rFonts w:ascii="仿宋_GB2312" w:hAnsi="仿宋_GB2312" w:eastAsia="仿宋_GB2312" w:cs="仿宋_GB2312"/>
          <w:b w:val="0"/>
          <w:sz w:val="32"/>
        </w:rPr>
        <w:sectPr>
          <w:footerReference r:id="rId5" w:type="default"/>
          <w:pgSz w:w="16838" w:h="11906" w:orient="landscape"/>
          <w:pgMar w:top="1474" w:right="1440" w:bottom="1474" w:left="1440" w:header="720" w:footer="720" w:gutter="0"/>
          <w:pgNumType w:fmt="numberInDash" w:start="1"/>
          <w:cols w:space="720" w:num="1"/>
          <w:docGrid w:linePitch="360" w:charSpace="0"/>
        </w:sectPr>
      </w:pPr>
    </w:p>
    <w:p w14:paraId="2D5785FB">
      <w:pPr>
        <w:spacing w:before="0" w:after="0" w:line="560" w:lineRule="exact"/>
        <w:ind w:right="1280"/>
        <w:jc w:val="both"/>
        <w:rPr>
          <w:rFonts w:ascii="仿宋_GB2312" w:hAnsi="仿宋_GB2312" w:eastAsia="仿宋_GB2312" w:cs="仿宋_GB2312"/>
          <w:b w:val="0"/>
          <w:sz w:val="32"/>
        </w:rPr>
      </w:pPr>
    </w:p>
    <w:sectPr>
      <w:footerReference r:id="rId6" w:type="default"/>
      <w:pgSz w:w="11906" w:h="16838"/>
      <w:pgMar w:top="1440" w:right="1701" w:bottom="1440" w:left="1701" w:header="720" w:footer="720" w:gutter="0"/>
      <w:pgNumType w:fmt="numberInDash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E14036-7610-4082-8402-6EDCE7CFA60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  <w:embedRegular r:id="rId2" w:fontKey="{26D8BB8C-3C2C-4306-9B0D-454BD230D32D}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  <w:embedRegular r:id="rId3" w:fontKey="{A1199204-C19D-4468-A188-C94FF61691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36F58B4-B8E4-4E7D-8653-57DFBE9E69C2}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E4265B9-2707-461C-9CF8-88DA192F7E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C2BCCB2-113A-4C63-80BB-6260538C7A63}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7" w:fontKey="{7D3811EA-3DB0-41D1-9C7F-33605152480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47EFD377-3650-4864-9298-0E65F251A55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5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WPSEMBED1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7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8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WPSEMBED19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AD9C0">
    <w:pPr>
      <w:pStyle w:val="24"/>
      <w:jc w:val="center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C7F95">
                          <w:pPr>
                            <w:pStyle w:val="2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4C7F95">
                    <w:pPr>
                      <w:pStyle w:val="2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9E28D">
    <w:pPr>
      <w:pStyle w:val="24"/>
      <w:jc w:val="center"/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5E5DF">
                          <w:pPr>
                            <w:pStyle w:val="2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5E5DF">
                    <w:pPr>
                      <w:pStyle w:val="2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73EDD"/>
    <w:rsid w:val="38354663"/>
    <w:rsid w:val="3DFF6903"/>
    <w:rsid w:val="696F8E37"/>
    <w:rsid w:val="77DD6345"/>
    <w:rsid w:val="7EDFF4C5"/>
    <w:rsid w:val="9E3B15FC"/>
    <w:rsid w:val="B2D31458"/>
    <w:rsid w:val="F6FDCD45"/>
    <w:rsid w:val="FD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="仿宋_GB2312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2319</Words>
  <Characters>2433</Characters>
  <Lines>0</Lines>
  <Paragraphs>0</Paragraphs>
  <TotalTime>26</TotalTime>
  <ScaleCrop>false</ScaleCrop>
  <LinksUpToDate>false</LinksUpToDate>
  <CharactersWithSpaces>2510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董</cp:lastModifiedBy>
  <dcterms:modified xsi:type="dcterms:W3CDTF">2026-10-12T03:04:40Z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36B99C0302C046CE8C72D57DDEA913D0_13</vt:lpwstr>
  </property>
  <property fmtid="{D5CDD505-2E9C-101B-9397-08002B2CF9AE}" pid="4" name="KSOTemplateDocerSaveRecord">
    <vt:lpwstr>eyJoZGlkIjoiMGQxMjdlZGMwOWY4Y2ZmYzYyNjgyMDRmNmY2ZjE3NGYiLCJ1c2VySWQiOiI4MDA3ODkyMzkifQ==</vt:lpwstr>
  </property>
</Properties>
</file>