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DDFCE">
      <w:pPr>
        <w:spacing w:line="592" w:lineRule="exact"/>
        <w:ind w:firstLine="4480" w:firstLineChars="1400"/>
        <w:rPr>
          <w:rFonts w:ascii="楷体_GB2312" w:hAnsi="楷体_GB2312" w:eastAsia="楷体_GB2312" w:cs="楷体_GB2312"/>
          <w:sz w:val="32"/>
          <w:szCs w:val="32"/>
          <w:lang w:val="zh-TW" w:eastAsia="zh-TW"/>
        </w:rPr>
      </w:pPr>
    </w:p>
    <w:p w14:paraId="3FA0200D">
      <w:pPr>
        <w:adjustRightInd w:val="0"/>
        <w:snapToGrid w:val="0"/>
        <w:jc w:val="center"/>
        <w:rPr>
          <w:rFonts w:hint="eastAsia" w:ascii="方正小标宋简体" w:eastAsia="方正小标宋简体"/>
          <w:color w:val="000000" w:themeColor="text1"/>
          <w:sz w:val="44"/>
          <w:szCs w:val="44"/>
          <w14:textFill>
            <w14:solidFill>
              <w14:schemeClr w14:val="tx1"/>
            </w14:solidFill>
          </w14:textFill>
        </w:rPr>
      </w:pPr>
      <w:r>
        <w:rPr>
          <w:rFonts w:hint="eastAsia" w:ascii="方正小标宋简体" w:eastAsia="方正小标宋简体"/>
          <w:color w:val="000000" w:themeColor="text1"/>
          <w:sz w:val="44"/>
          <w:szCs w:val="44"/>
          <w14:textFill>
            <w14:solidFill>
              <w14:schemeClr w14:val="tx1"/>
            </w14:solidFill>
          </w14:textFill>
        </w:rPr>
        <w:t>陆</w:t>
      </w:r>
      <w:r>
        <w:rPr>
          <w:rFonts w:hint="eastAsia" w:ascii="方正小标宋简体" w:eastAsia="方正小标宋简体"/>
          <w:color w:val="000000" w:themeColor="text1"/>
          <w:sz w:val="44"/>
          <w:szCs w:val="44"/>
          <w:lang w:val="en-US" w:eastAsia="zh-CN"/>
          <w14:textFill>
            <w14:solidFill>
              <w14:schemeClr w14:val="tx1"/>
            </w14:solidFill>
          </w14:textFill>
        </w:rPr>
        <w:t>丰市</w:t>
      </w:r>
      <w:r>
        <w:rPr>
          <w:rFonts w:hint="eastAsia" w:ascii="方正小标宋简体" w:eastAsia="方正小标宋简体"/>
          <w:color w:val="000000" w:themeColor="text1"/>
          <w:sz w:val="44"/>
          <w:szCs w:val="44"/>
          <w14:textFill>
            <w14:solidFill>
              <w14:schemeClr w14:val="tx1"/>
            </w14:solidFill>
          </w14:textFill>
        </w:rPr>
        <w:t>农村集体经营性建设用地使用权</w:t>
      </w:r>
    </w:p>
    <w:p w14:paraId="2BC28E5B">
      <w:pPr>
        <w:adjustRightInd w:val="0"/>
        <w:snapToGrid w:val="0"/>
        <w:jc w:val="center"/>
        <w:rPr>
          <w:rFonts w:hint="eastAsia" w:ascii="方正小标宋简体" w:eastAsia="方正小标宋简体"/>
          <w:color w:val="000000" w:themeColor="text1"/>
          <w:sz w:val="44"/>
          <w:szCs w:val="44"/>
          <w:lang w:eastAsia="zh-CN"/>
          <w14:textFill>
            <w14:solidFill>
              <w14:schemeClr w14:val="tx1"/>
            </w14:solidFill>
          </w14:textFill>
        </w:rPr>
      </w:pPr>
      <w:r>
        <w:rPr>
          <w:rFonts w:hint="eastAsia" w:ascii="方正小标宋简体" w:eastAsia="方正小标宋简体"/>
          <w:color w:val="000000" w:themeColor="text1"/>
          <w:sz w:val="44"/>
          <w:szCs w:val="44"/>
          <w14:textFill>
            <w14:solidFill>
              <w14:schemeClr w14:val="tx1"/>
            </w14:solidFill>
          </w14:textFill>
        </w:rPr>
        <w:t>出让规定</w:t>
      </w:r>
      <w:r>
        <w:rPr>
          <w:rFonts w:hint="eastAsia" w:ascii="方正小标宋简体" w:hAnsi="楷体" w:eastAsia="方正小标宋简体" w:cs="楷体_GB2312"/>
          <w:color w:val="000000" w:themeColor="text1"/>
          <w:sz w:val="44"/>
          <w:szCs w:val="44"/>
          <w14:textFill>
            <w14:solidFill>
              <w14:schemeClr w14:val="tx1"/>
            </w14:solidFill>
          </w14:textFill>
        </w:rPr>
        <w:t>（试行）</w:t>
      </w:r>
      <w:r>
        <w:rPr>
          <w:rFonts w:hint="eastAsia" w:ascii="方正小标宋简体" w:hAnsi="楷体" w:eastAsia="方正小标宋简体" w:cs="楷体_GB2312"/>
          <w:color w:val="000000" w:themeColor="text1"/>
          <w:sz w:val="44"/>
          <w:szCs w:val="44"/>
          <w:lang w:eastAsia="zh-CN"/>
          <w14:textFill>
            <w14:solidFill>
              <w14:schemeClr w14:val="tx1"/>
            </w14:solidFill>
          </w14:textFill>
        </w:rPr>
        <w:t>（</w:t>
      </w:r>
      <w:r>
        <w:rPr>
          <w:rFonts w:hint="eastAsia" w:ascii="方正小标宋简体" w:hAnsi="楷体" w:eastAsia="方正小标宋简体" w:cs="楷体_GB2312"/>
          <w:color w:val="000000" w:themeColor="text1"/>
          <w:sz w:val="44"/>
          <w:szCs w:val="44"/>
          <w:lang w:val="en-US" w:eastAsia="zh-CN"/>
          <w14:textFill>
            <w14:solidFill>
              <w14:schemeClr w14:val="tx1"/>
            </w14:solidFill>
          </w14:textFill>
        </w:rPr>
        <w:t>征求意见稿</w:t>
      </w:r>
      <w:r>
        <w:rPr>
          <w:rFonts w:hint="eastAsia" w:ascii="方正小标宋简体" w:hAnsi="楷体" w:eastAsia="方正小标宋简体" w:cs="楷体_GB2312"/>
          <w:color w:val="000000" w:themeColor="text1"/>
          <w:sz w:val="44"/>
          <w:szCs w:val="44"/>
          <w:lang w:eastAsia="zh-CN"/>
          <w14:textFill>
            <w14:solidFill>
              <w14:schemeClr w14:val="tx1"/>
            </w14:solidFill>
          </w14:textFill>
        </w:rPr>
        <w:t>）</w:t>
      </w:r>
    </w:p>
    <w:p w14:paraId="22B88C14">
      <w:pPr>
        <w:adjustRightInd w:val="0"/>
        <w:snapToGrid w:val="0"/>
        <w:spacing w:line="560" w:lineRule="exact"/>
        <w:ind w:firstLine="640" w:firstLineChars="200"/>
        <w:jc w:val="center"/>
        <w:rPr>
          <w:rFonts w:ascii="仿宋_GB2312" w:eastAsia="仿宋_GB2312"/>
          <w:color w:val="000000" w:themeColor="text1"/>
          <w:sz w:val="32"/>
          <w:szCs w:val="32"/>
          <w14:textFill>
            <w14:solidFill>
              <w14:schemeClr w14:val="tx1"/>
            </w14:solidFill>
          </w14:textFill>
        </w:rPr>
      </w:pPr>
    </w:p>
    <w:p w14:paraId="239DADD2">
      <w:pPr>
        <w:adjustRightInd w:val="0"/>
        <w:snapToGrid w:val="0"/>
        <w:spacing w:line="560" w:lineRule="exact"/>
        <w:jc w:val="center"/>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第一章 总 则</w:t>
      </w:r>
    </w:p>
    <w:p w14:paraId="2A999D81">
      <w:pPr>
        <w:adjustRightInd w:val="0"/>
        <w:snapToGrid w:val="0"/>
        <w:spacing w:line="560" w:lineRule="exact"/>
        <w:jc w:val="center"/>
        <w:rPr>
          <w:rFonts w:ascii="仿宋_GB2312" w:eastAsia="仿宋_GB2312"/>
          <w:b/>
          <w:bCs/>
          <w:color w:val="000000" w:themeColor="text1"/>
          <w:sz w:val="32"/>
          <w:szCs w:val="32"/>
          <w14:textFill>
            <w14:solidFill>
              <w14:schemeClr w14:val="tx1"/>
            </w14:solidFill>
          </w14:textFill>
        </w:rPr>
      </w:pPr>
    </w:p>
    <w:p w14:paraId="2FA6E875">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第一条</w:t>
      </w:r>
      <w:r>
        <w:rPr>
          <w:rFonts w:hint="eastAsia" w:ascii="仿宋_GB2312" w:eastAsia="仿宋_GB2312"/>
          <w:color w:val="000000" w:themeColor="text1"/>
          <w:sz w:val="32"/>
          <w:szCs w:val="32"/>
          <w14:textFill>
            <w14:solidFill>
              <w14:schemeClr w14:val="tx1"/>
            </w14:solidFill>
          </w14:textFill>
        </w:rPr>
        <w:t xml:space="preserve"> 为规范</w:t>
      </w:r>
      <w:r>
        <w:rPr>
          <w:rFonts w:hint="eastAsia" w:ascii="仿宋_GB2312" w:eastAsia="仿宋_GB2312"/>
          <w:color w:val="000000" w:themeColor="text1"/>
          <w:sz w:val="32"/>
          <w:szCs w:val="32"/>
          <w:lang w:val="en-US" w:eastAsia="zh-CN"/>
          <w14:textFill>
            <w14:solidFill>
              <w14:schemeClr w14:val="tx1"/>
            </w14:solidFill>
          </w14:textFill>
        </w:rPr>
        <w:t>农村</w:t>
      </w:r>
      <w:r>
        <w:rPr>
          <w:rFonts w:hint="eastAsia" w:ascii="仿宋_GB2312" w:eastAsia="仿宋_GB2312"/>
          <w:color w:val="000000" w:themeColor="text1"/>
          <w:sz w:val="32"/>
          <w:szCs w:val="32"/>
          <w14:textFill>
            <w14:solidFill>
              <w14:schemeClr w14:val="tx1"/>
            </w14:solidFill>
          </w14:textFill>
        </w:rPr>
        <w:t>集体经营性建设用地使用权出让行为，优化土地资源配置，建立公开、公平、公正的集体经营性建设用地使用制度，根据</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sz w:val="32"/>
          <w:szCs w:val="32"/>
          <w:lang w:val="en-US" w:eastAsia="zh-CN"/>
        </w:rPr>
        <w:t>陆丰市农村集体经营性建设用地入市改革工作方案(试行)</w:t>
      </w:r>
      <w:r>
        <w:rPr>
          <w:rFonts w:hint="eastAsia" w:ascii="仿宋_GB2312" w:hAnsi="仿宋_GB2312" w:eastAsia="仿宋_GB2312" w:cs="仿宋_GB2312"/>
          <w:color w:val="auto"/>
          <w:sz w:val="32"/>
          <w:szCs w:val="32"/>
        </w:rPr>
        <w:t>》</w:t>
      </w:r>
      <w:r>
        <w:rPr>
          <w:rFonts w:hint="eastAsia" w:ascii="仿宋_GB2312" w:eastAsia="仿宋_GB2312"/>
          <w:color w:val="000000" w:themeColor="text1"/>
          <w:sz w:val="32"/>
          <w:szCs w:val="32"/>
          <w14:textFill>
            <w14:solidFill>
              <w14:schemeClr w14:val="tx1"/>
            </w14:solidFill>
          </w14:textFill>
        </w:rPr>
        <w:t>，制订本规定。</w:t>
      </w:r>
    </w:p>
    <w:p w14:paraId="6130B38F">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第二条</w:t>
      </w:r>
      <w:r>
        <w:rPr>
          <w:rFonts w:hint="eastAsia" w:ascii="仿宋_GB2312" w:eastAsia="仿宋_GB2312"/>
          <w:color w:val="000000" w:themeColor="text1"/>
          <w:sz w:val="32"/>
          <w:szCs w:val="32"/>
          <w14:textFill>
            <w14:solidFill>
              <w14:schemeClr w14:val="tx1"/>
            </w14:solidFill>
          </w14:textFill>
        </w:rPr>
        <w:t xml:space="preserve"> </w:t>
      </w:r>
      <w:r>
        <w:rPr>
          <w:rFonts w:hint="eastAsia" w:ascii="仿宋_GB2312" w:eastAsia="仿宋_GB2312"/>
          <w:color w:val="000000" w:themeColor="text1"/>
          <w:sz w:val="32"/>
          <w:szCs w:val="32"/>
          <w:lang w:val="en-US" w:eastAsia="zh-CN"/>
          <w14:textFill>
            <w14:solidFill>
              <w14:schemeClr w14:val="tx1"/>
            </w14:solidFill>
          </w14:textFill>
        </w:rPr>
        <w:t>陆丰市</w:t>
      </w:r>
      <w:r>
        <w:rPr>
          <w:rFonts w:hint="eastAsia" w:ascii="仿宋_GB2312" w:eastAsia="仿宋_GB2312"/>
          <w:color w:val="000000" w:themeColor="text1"/>
          <w:sz w:val="32"/>
          <w:szCs w:val="32"/>
          <w14:textFill>
            <w14:solidFill>
              <w14:schemeClr w14:val="tx1"/>
            </w14:solidFill>
          </w14:textFill>
        </w:rPr>
        <w:t>域内取得《陆丰市农村集体经营性建设用地入市核准书》的集体经营性建设用地使用权（简称“使用权”）出让适用本规定。</w:t>
      </w:r>
    </w:p>
    <w:p w14:paraId="550946B0">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第三条</w:t>
      </w:r>
      <w:r>
        <w:rPr>
          <w:rFonts w:hint="eastAsia" w:ascii="仿宋_GB2312" w:eastAsia="仿宋_GB2312"/>
          <w:color w:val="000000" w:themeColor="text1"/>
          <w:sz w:val="32"/>
          <w:szCs w:val="32"/>
          <w14:textFill>
            <w14:solidFill>
              <w14:schemeClr w14:val="tx1"/>
            </w14:solidFill>
          </w14:textFill>
        </w:rPr>
        <w:t xml:space="preserve"> 使用权出让原则上采用网上公开</w:t>
      </w:r>
      <w:r>
        <w:rPr>
          <w:rFonts w:hint="eastAsia" w:ascii="仿宋_GB2312" w:eastAsia="仿宋_GB2312"/>
          <w:color w:val="000000" w:themeColor="text1"/>
          <w:sz w:val="32"/>
          <w:szCs w:val="32"/>
          <w:lang w:val="en-US" w:eastAsia="zh-CN"/>
          <w14:textFill>
            <w14:solidFill>
              <w14:schemeClr w14:val="tx1"/>
            </w14:solidFill>
          </w14:textFill>
        </w:rPr>
        <w:t>招标、拍卖、</w:t>
      </w:r>
      <w:r>
        <w:rPr>
          <w:rFonts w:hint="eastAsia" w:ascii="仿宋_GB2312" w:eastAsia="仿宋_GB2312"/>
          <w:color w:val="000000" w:themeColor="text1"/>
          <w:sz w:val="32"/>
          <w:szCs w:val="32"/>
          <w14:textFill>
            <w14:solidFill>
              <w14:schemeClr w14:val="tx1"/>
            </w14:solidFill>
          </w14:textFill>
        </w:rPr>
        <w:t>挂牌方式，应纳入</w:t>
      </w:r>
      <w:r>
        <w:rPr>
          <w:rFonts w:hint="eastAsia" w:ascii="仿宋_GB2312" w:eastAsia="仿宋_GB2312"/>
          <w:color w:val="000000" w:themeColor="text1"/>
          <w:sz w:val="32"/>
          <w:szCs w:val="32"/>
          <w:lang w:val="en-US"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公共资源交易平台，实行统一管理。</w:t>
      </w:r>
    </w:p>
    <w:p w14:paraId="2E1CC82D">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招标出让，是指集体经营性建设用地出让人（以下简称“出让人”）根据地块入市事项制作并发布招标公告，邀请和接受特定或者不特定的自然人、法人和其他组织参加使用权投标，根据投标结果确定使用者的行为。</w:t>
      </w:r>
    </w:p>
    <w:p w14:paraId="55B74E46">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（二）拍卖出让，是指出让人根据地块入市事项制作并发布拍卖公告，由竞买人在指定时间、地点进行公开竞价，根据出价结果确定土地使用者的行为。</w:t>
      </w:r>
    </w:p>
    <w:p w14:paraId="17B48C79">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三）网上挂牌出让，是指出让人进入公共资源交易平台，在自然资源网上交易系统（以下简称“交易系统”）发布挂牌出让公告，竞买申请人登录交易系统报名、报价，交易系统在出让公告约定的截止时间根据报价结果确定竞得人的行为。</w:t>
      </w:r>
    </w:p>
    <w:p w14:paraId="6A0FAB23">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lang w:val="en-US" w:eastAsia="zh-CN"/>
          <w14:textFill>
            <w14:solidFill>
              <w14:schemeClr w14:val="tx1"/>
            </w14:solidFill>
          </w14:textFill>
        </w:rPr>
        <w:t>四</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中华人民共和国境内外的公司、企业、其他组织和自然人，除法律、法规另有规定者外，均可依照本规定，通过出让方式取得土地使用权进行开发、利用、经营。其合法取得的土地使用权可</w:t>
      </w:r>
      <w:r>
        <w:rPr>
          <w:rFonts w:hint="eastAsia" w:ascii="仿宋_GB2312" w:eastAsia="仿宋_GB2312"/>
          <w:color w:val="000000" w:themeColor="text1"/>
          <w:sz w:val="32"/>
          <w:szCs w:val="32"/>
          <w:lang w:val="en-US" w:eastAsia="zh-CN"/>
          <w14:textFill>
            <w14:solidFill>
              <w14:schemeClr w14:val="tx1"/>
            </w14:solidFill>
          </w14:textFill>
        </w:rPr>
        <w:t>按合同的约定进行</w:t>
      </w:r>
      <w:r>
        <w:rPr>
          <w:rFonts w:hint="eastAsia" w:ascii="仿宋_GB2312" w:eastAsia="仿宋_GB2312"/>
          <w:color w:val="000000" w:themeColor="text1"/>
          <w:sz w:val="32"/>
          <w:szCs w:val="32"/>
          <w14:textFill>
            <w14:solidFill>
              <w14:schemeClr w14:val="tx1"/>
            </w14:solidFill>
          </w14:textFill>
        </w:rPr>
        <w:t>转让、出租、抵押。</w:t>
      </w:r>
    </w:p>
    <w:p w14:paraId="7E918BE4">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p>
    <w:p w14:paraId="064A8070">
      <w:pPr>
        <w:adjustRightInd w:val="0"/>
        <w:snapToGrid w:val="0"/>
        <w:spacing w:line="560" w:lineRule="exact"/>
        <w:jc w:val="center"/>
        <w:rPr>
          <w:rFonts w:ascii="仿宋_GB2312" w:eastAsia="仿宋_GB2312"/>
          <w:b/>
          <w:bCs/>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第二章 招标、拍卖、挂牌出让</w:t>
      </w:r>
    </w:p>
    <w:p w14:paraId="267FC638">
      <w:pPr>
        <w:adjustRightInd w:val="0"/>
        <w:snapToGrid w:val="0"/>
        <w:spacing w:line="560" w:lineRule="exact"/>
        <w:jc w:val="center"/>
        <w:rPr>
          <w:rFonts w:ascii="仿宋_GB2312" w:eastAsia="仿宋_GB2312"/>
          <w:b/>
          <w:bCs/>
          <w:color w:val="000000" w:themeColor="text1"/>
          <w:sz w:val="32"/>
          <w:szCs w:val="32"/>
          <w14:textFill>
            <w14:solidFill>
              <w14:schemeClr w14:val="tx1"/>
            </w14:solidFill>
          </w14:textFill>
        </w:rPr>
      </w:pPr>
    </w:p>
    <w:p w14:paraId="7D8B29B0">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lang w:val="en-US" w:eastAsia="zh-CN"/>
          <w14:textFill>
            <w14:solidFill>
              <w14:schemeClr w14:val="tx1"/>
            </w14:solidFill>
          </w14:textFill>
        </w:rPr>
        <w:t>五</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出让人应当根据招标拍卖挂牌出让地块的情况，编制招标拍卖挂牌出让文件。</w:t>
      </w:r>
    </w:p>
    <w:p w14:paraId="46BD2CE4">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招标拍卖挂牌出让文件应当包括出让公告、投标或者竞买须知、土地使用条件、标书或者竞买申请书、报价单</w:t>
      </w:r>
      <w:r>
        <w:rPr>
          <w:rFonts w:hint="eastAsia" w:ascii="仿宋_GB2312" w:eastAsia="仿宋_GB2312"/>
          <w:color w:val="000000" w:themeColor="text1"/>
          <w:sz w:val="32"/>
          <w:szCs w:val="32"/>
          <w:lang w:eastAsia="zh-CN"/>
          <w14:textFill>
            <w14:solidFill>
              <w14:schemeClr w14:val="tx1"/>
            </w14:solidFill>
          </w14:textFill>
        </w:rPr>
        <w:t>等</w:t>
      </w:r>
      <w:r>
        <w:rPr>
          <w:rFonts w:hint="eastAsia" w:ascii="仿宋_GB2312" w:eastAsia="仿宋_GB2312"/>
          <w:color w:val="000000" w:themeColor="text1"/>
          <w:sz w:val="32"/>
          <w:szCs w:val="32"/>
          <w14:textFill>
            <w14:solidFill>
              <w14:schemeClr w14:val="tx1"/>
            </w14:solidFill>
          </w14:textFill>
        </w:rPr>
        <w:t>。</w:t>
      </w:r>
    </w:p>
    <w:p w14:paraId="06CBA840">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lang w:val="en-US" w:eastAsia="zh-CN"/>
          <w14:textFill>
            <w14:solidFill>
              <w14:schemeClr w14:val="tx1"/>
            </w14:solidFill>
          </w14:textFill>
        </w:rPr>
        <w:t>六</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出让人应当至少在投标、拍卖或者挂牌开始日前20</w:t>
      </w:r>
      <w:r>
        <w:rPr>
          <w:rFonts w:hint="eastAsia" w:ascii="仿宋_GB2312" w:eastAsia="仿宋_GB2312"/>
          <w:color w:val="000000" w:themeColor="text1"/>
          <w:sz w:val="32"/>
          <w:szCs w:val="32"/>
          <w:lang w:val="en-US" w:eastAsia="zh-CN"/>
          <w14:textFill>
            <w14:solidFill>
              <w14:schemeClr w14:val="tx1"/>
            </w14:solidFill>
          </w14:textFill>
        </w:rPr>
        <w:t>日</w:t>
      </w:r>
      <w:r>
        <w:rPr>
          <w:rFonts w:hint="eastAsia" w:ascii="仿宋_GB2312" w:eastAsia="仿宋_GB2312"/>
          <w:color w:val="000000" w:themeColor="text1"/>
          <w:sz w:val="32"/>
          <w:szCs w:val="32"/>
          <w14:textFill>
            <w14:solidFill>
              <w14:schemeClr w14:val="tx1"/>
            </w14:solidFill>
          </w14:textFill>
        </w:rPr>
        <w:t>，在</w:t>
      </w:r>
      <w:r>
        <w:rPr>
          <w:rFonts w:hint="eastAsia" w:ascii="仿宋_GB2312" w:eastAsia="仿宋_GB2312"/>
          <w:color w:val="000000" w:themeColor="text1"/>
          <w:sz w:val="32"/>
          <w:szCs w:val="32"/>
          <w:lang w:val="en-US"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公共资源交易中心或者其他媒介发布招标、拍卖、挂牌公告，公布出让宗地的基本情况。</w:t>
      </w:r>
    </w:p>
    <w:p w14:paraId="6CAE9DE5">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招标拍卖挂牌出让公告中不得设定影响公平、公正竞争的限制条件。挂牌出让的，出让公告中规定的申请截止时间，应当为挂牌出让结束日前</w:t>
      </w:r>
      <w:r>
        <w:rPr>
          <w:rFonts w:hint="eastAsia" w:ascii="仿宋_GB2312" w:eastAsia="仿宋_GB2312"/>
          <w:color w:val="000000" w:themeColor="text1"/>
          <w:sz w:val="32"/>
          <w:szCs w:val="32"/>
          <w:lang w:val="en-US" w:eastAsia="zh-CN"/>
          <w14:textFill>
            <w14:solidFill>
              <w14:schemeClr w14:val="tx1"/>
            </w14:solidFill>
          </w14:textFill>
        </w:rPr>
        <w:t>2日</w:t>
      </w:r>
      <w:r>
        <w:rPr>
          <w:rFonts w:hint="eastAsia" w:ascii="仿宋_GB2312" w:eastAsia="仿宋_GB2312"/>
          <w:color w:val="000000" w:themeColor="text1"/>
          <w:sz w:val="32"/>
          <w:szCs w:val="32"/>
          <w14:textFill>
            <w14:solidFill>
              <w14:schemeClr w14:val="tx1"/>
            </w14:solidFill>
          </w14:textFill>
        </w:rPr>
        <w:t>。</w:t>
      </w:r>
    </w:p>
    <w:p w14:paraId="2D8B96AA">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lang w:val="en-US" w:eastAsia="zh-CN"/>
          <w14:textFill>
            <w14:solidFill>
              <w14:schemeClr w14:val="tx1"/>
            </w14:solidFill>
          </w14:textFill>
        </w:rPr>
        <w:t>七</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公告发布后，出让人应当委托</w:t>
      </w:r>
      <w:r>
        <w:rPr>
          <w:rFonts w:hint="eastAsia" w:ascii="仿宋_GB2312" w:eastAsia="仿宋_GB2312"/>
          <w:color w:val="000000" w:themeColor="text1"/>
          <w:sz w:val="32"/>
          <w:szCs w:val="32"/>
          <w:lang w:val="en-US"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公共资源交易中心主持交易活动，由</w:t>
      </w:r>
      <w:r>
        <w:rPr>
          <w:rFonts w:hint="eastAsia" w:ascii="仿宋_GB2312" w:eastAsia="仿宋_GB2312"/>
          <w:color w:val="000000" w:themeColor="text1"/>
          <w:sz w:val="32"/>
          <w:szCs w:val="32"/>
          <w:lang w:val="en-US"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公共资源交易中心实施接受报名、对申请进行资格审查、组织招标拍卖挂牌、成交确认等。</w:t>
      </w:r>
    </w:p>
    <w:p w14:paraId="40DCF1F0">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lang w:val="en-US" w:eastAsia="zh-CN"/>
          <w14:textFill>
            <w14:solidFill>
              <w14:schemeClr w14:val="tx1"/>
            </w14:solidFill>
          </w14:textFill>
        </w:rPr>
        <w:t>八</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经审查符合招标拍卖挂牌公告规定条件的申请人，</w:t>
      </w:r>
      <w:r>
        <w:rPr>
          <w:rFonts w:hint="eastAsia" w:ascii="仿宋_GB2312" w:eastAsia="仿宋_GB2312"/>
          <w:color w:val="000000" w:themeColor="text1"/>
          <w:sz w:val="32"/>
          <w:szCs w:val="32"/>
          <w:lang w:val="en-US"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公共资源交易中心和出让人应当通知其参加招标拍卖挂牌活动。出让人及相关部门应当为符合条件的投标人、竞买人查询拟出让土地的有关情况提供便利。</w:t>
      </w:r>
    </w:p>
    <w:p w14:paraId="320D2BE5">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lang w:val="en-US" w:eastAsia="zh-CN"/>
          <w14:textFill>
            <w14:solidFill>
              <w14:schemeClr w14:val="tx1"/>
            </w14:solidFill>
          </w14:textFill>
        </w:rPr>
        <w:t>九</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投标、开标依照下列程序进行:</w:t>
      </w:r>
    </w:p>
    <w:p w14:paraId="1876A0D9">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（一）投标人在投标截止时间前将标书投入标箱。招标公告允许邮寄标书的，投标人可以邮寄，但出让人在投标截止时间前收到的方为有效。</w:t>
      </w:r>
    </w:p>
    <w:p w14:paraId="7168E4A2">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标书投入标箱后，不可撤回。投标人应当对标书和有关书面承诺承担责任。</w:t>
      </w:r>
    </w:p>
    <w:p w14:paraId="3C7BB1E7">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二）出让人按照招标公告规定的时间、地点开标，邀请所有投标人参加。由投标人或者其推选的代表检查标箱的密封情况，当众开启标箱，点算标书。投标人少于三人的，出让人应当终止招标活动。投标人不少于三人的，应当逐一宣布投标人名称、投标价格和投标文件的主要内容。</w:t>
      </w:r>
    </w:p>
    <w:p w14:paraId="109292D0">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（三）评标小组进行评标。评标小组由出让人代表、有关专家组成，成员人数为五人以上的单数。</w:t>
      </w:r>
    </w:p>
    <w:p w14:paraId="7BB99DF2">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评标小组可以要求投标人对投标文件作出必要的澄清或者说明，但是澄清或者说明不得超出投标文件的范围或者改变投标文件的实质性内容。</w:t>
      </w:r>
    </w:p>
    <w:p w14:paraId="69FBC4C5">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评标小组应当按照招标文件确定的评标标准和方法，对投标文件进行评审。</w:t>
      </w:r>
    </w:p>
    <w:p w14:paraId="6C513BA2">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（四）招标人根据评标结果，确定中标人。</w:t>
      </w:r>
    </w:p>
    <w:p w14:paraId="76592A6E">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按照价高者得的原则确定中标人的，可以不成立评标小组，由招标主持人根据开标结果，确定中标人。</w:t>
      </w:r>
    </w:p>
    <w:p w14:paraId="4BA89026">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第十条</w:t>
      </w:r>
      <w:r>
        <w:rPr>
          <w:rFonts w:hint="eastAsia" w:ascii="仿宋_GB2312" w:eastAsia="仿宋_GB2312"/>
          <w:color w:val="000000" w:themeColor="text1"/>
          <w:sz w:val="32"/>
          <w:szCs w:val="32"/>
          <w14:textFill>
            <w14:solidFill>
              <w14:schemeClr w14:val="tx1"/>
            </w14:solidFill>
          </w14:textFill>
        </w:rPr>
        <w:t xml:space="preserve"> 对能够最大限度地满足招标文件中规定的各项综合评价标准，或者能够满足招标文件的实质性要求且价格最高的投标人，应当确定为中标人。</w:t>
      </w:r>
    </w:p>
    <w:p w14:paraId="39787F50">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第十</w:t>
      </w:r>
      <w:r>
        <w:rPr>
          <w:rFonts w:hint="eastAsia" w:ascii="黑体" w:hAnsi="黑体" w:eastAsia="黑体" w:cs="黑体"/>
          <w:color w:val="000000" w:themeColor="text1"/>
          <w:sz w:val="32"/>
          <w:szCs w:val="32"/>
          <w:lang w:val="en-US" w:eastAsia="zh-CN"/>
          <w14:textFill>
            <w14:solidFill>
              <w14:schemeClr w14:val="tx1"/>
            </w14:solidFill>
          </w14:textFill>
        </w:rPr>
        <w:t>一</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拍卖会依照下列程序进行:</w:t>
      </w:r>
    </w:p>
    <w:p w14:paraId="4D8B875D">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（一）主持人点算竞买人；</w:t>
      </w:r>
    </w:p>
    <w:p w14:paraId="3DC9F098">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（二）主持人介绍拍卖宗地的面积、界址、空间范围、现状、用途、使用年期、规划指标要求、开工和竣工时间以及其他有关事项；</w:t>
      </w:r>
    </w:p>
    <w:p w14:paraId="76DEFD23">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（三）主持人宣布起叫价和增价规则及增价幅度。没有底价的，应当明确提示；</w:t>
      </w:r>
    </w:p>
    <w:p w14:paraId="247190BC">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（四）主持人报出起叫价；</w:t>
      </w:r>
    </w:p>
    <w:p w14:paraId="4D57EBDD">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（五）竞买人举牌应价或者报价；</w:t>
      </w:r>
    </w:p>
    <w:p w14:paraId="70F1934B">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（六）主持人确认该应价或者报价后继续竞价；</w:t>
      </w:r>
    </w:p>
    <w:p w14:paraId="23E0A895">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（七）主持人连续三次宣布同一应价或者报价而没有再应价或者报价的，主持人落槌表示拍卖成交；</w:t>
      </w:r>
    </w:p>
    <w:p w14:paraId="06F09DBC">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（八）主持人宣布最高应价或者报价者为竞得人。</w:t>
      </w:r>
    </w:p>
    <w:p w14:paraId="61FD8D14">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第十</w:t>
      </w:r>
      <w:r>
        <w:rPr>
          <w:rFonts w:hint="eastAsia" w:ascii="黑体" w:hAnsi="黑体" w:eastAsia="黑体" w:cs="黑体"/>
          <w:color w:val="000000" w:themeColor="text1"/>
          <w:sz w:val="32"/>
          <w:szCs w:val="32"/>
          <w:lang w:val="en-US"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竞买人的最高应价或者报价未达到底价时，主持人应当终止拍卖。</w:t>
      </w:r>
    </w:p>
    <w:p w14:paraId="5027E71F">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拍卖主持人在拍卖中可以根据竞买人竞价情况调整拍卖增价幅度。</w:t>
      </w:r>
    </w:p>
    <w:p w14:paraId="54B5489F">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第十</w:t>
      </w:r>
      <w:r>
        <w:rPr>
          <w:rFonts w:hint="eastAsia" w:ascii="黑体" w:hAnsi="黑体" w:eastAsia="黑体" w:cs="黑体"/>
          <w:color w:val="000000" w:themeColor="text1"/>
          <w:sz w:val="32"/>
          <w:szCs w:val="32"/>
          <w:lang w:val="en-US"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网上挂牌依照以下程序进行:</w:t>
      </w:r>
    </w:p>
    <w:p w14:paraId="0C49CE13">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（一）在挂牌公告规定的挂牌前，出让人将挂牌宗地的面积、界址、空间范围、现状、用途、使用年期、规划指标要求、开工时间和竣工时间、起始价、增价规则及增价幅度等信息交由</w:t>
      </w:r>
      <w:r>
        <w:rPr>
          <w:rFonts w:hint="eastAsia" w:ascii="仿宋_GB2312" w:eastAsia="仿宋_GB2312"/>
          <w:color w:val="000000" w:themeColor="text1"/>
          <w:sz w:val="32"/>
          <w:szCs w:val="32"/>
          <w:lang w:val="en-US"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自然资源局、</w:t>
      </w:r>
      <w:r>
        <w:rPr>
          <w:rFonts w:hint="eastAsia" w:ascii="仿宋_GB2312" w:eastAsia="仿宋_GB2312"/>
          <w:color w:val="000000" w:themeColor="text1"/>
          <w:sz w:val="32"/>
          <w:szCs w:val="32"/>
          <w:lang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公共资源交易中心，在</w:t>
      </w:r>
      <w:r>
        <w:rPr>
          <w:rFonts w:hint="eastAsia" w:ascii="仿宋_GB2312" w:hAnsi="仿宋" w:eastAsia="仿宋_GB2312"/>
          <w:color w:val="000000" w:themeColor="text1"/>
          <w:sz w:val="32"/>
          <w:szCs w:val="32"/>
          <w14:textFill>
            <w14:solidFill>
              <w14:schemeClr w14:val="tx1"/>
            </w14:solidFill>
          </w14:textFill>
        </w:rPr>
        <w:t>中国土地市场网、广东省土地市场动态监测与监管系统、报刊、</w:t>
      </w:r>
      <w:r>
        <w:rPr>
          <w:rFonts w:hint="eastAsia" w:ascii="仿宋_GB2312" w:hAnsi="仿宋" w:eastAsia="仿宋_GB2312"/>
          <w:color w:val="000000" w:themeColor="text1"/>
          <w:sz w:val="32"/>
          <w:szCs w:val="32"/>
          <w:lang w:val="en-US" w:eastAsia="zh-CN"/>
          <w14:textFill>
            <w14:solidFill>
              <w14:schemeClr w14:val="tx1"/>
            </w14:solidFill>
          </w14:textFill>
        </w:rPr>
        <w:t>陆丰市</w:t>
      </w:r>
      <w:r>
        <w:rPr>
          <w:rFonts w:hint="eastAsia" w:ascii="仿宋_GB2312" w:hAnsi="仿宋" w:eastAsia="仿宋_GB2312"/>
          <w:color w:val="000000" w:themeColor="text1"/>
          <w:sz w:val="32"/>
          <w:szCs w:val="32"/>
          <w14:textFill>
            <w14:solidFill>
              <w14:schemeClr w14:val="tx1"/>
            </w14:solidFill>
          </w14:textFill>
        </w:rPr>
        <w:t>公共资源交易网发布土</w:t>
      </w:r>
      <w:r>
        <w:rPr>
          <w:rFonts w:hint="eastAsia" w:ascii="仿宋_GB2312" w:eastAsia="仿宋_GB2312"/>
          <w:color w:val="000000" w:themeColor="text1"/>
          <w:sz w:val="32"/>
          <w:szCs w:val="32"/>
          <w14:textFill>
            <w14:solidFill>
              <w14:schemeClr w14:val="tx1"/>
            </w14:solidFill>
          </w14:textFill>
        </w:rPr>
        <w:t>地出让信息；</w:t>
      </w:r>
    </w:p>
    <w:p w14:paraId="6B722698">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（二）竞买申请人可携带相关材料到市交易中心递交办理数字证书（USBkey）申请，办理数字证书（USBkey）；</w:t>
      </w:r>
    </w:p>
    <w:p w14:paraId="6478499D">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（三）竞买申请人凭数字证书（USBkey）登陆交易系统</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在报名截止时间前提交报名申请，交纳竞买保证金，获得交易系统报价权限；</w:t>
      </w:r>
    </w:p>
    <w:p w14:paraId="28D5530C">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（四）竞买人在规定的期限内进行网上报价、竞价；</w:t>
      </w:r>
    </w:p>
    <w:p w14:paraId="539FB196">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（五）报价最高者通过资格审核的，交易系统确认最高报价人为竞得人。</w:t>
      </w:r>
      <w:r>
        <w:rPr>
          <w:rFonts w:hint="eastAsia" w:ascii="仿宋_GB2312" w:hAnsi="仿宋" w:eastAsia="仿宋_GB2312"/>
          <w:color w:val="000000" w:themeColor="text1"/>
          <w:sz w:val="32"/>
          <w:szCs w:val="32"/>
          <w:lang w:val="en-US" w:eastAsia="zh-CN"/>
          <w14:textFill>
            <w14:solidFill>
              <w14:schemeClr w14:val="tx1"/>
            </w14:solidFill>
          </w14:textFill>
        </w:rPr>
        <w:t>市</w:t>
      </w:r>
      <w:r>
        <w:rPr>
          <w:rFonts w:hint="eastAsia" w:ascii="仿宋_GB2312" w:hAnsi="仿宋" w:eastAsia="仿宋_GB2312"/>
          <w:color w:val="000000" w:themeColor="text1"/>
          <w:sz w:val="32"/>
          <w:szCs w:val="32"/>
          <w14:textFill>
            <w14:solidFill>
              <w14:schemeClr w14:val="tx1"/>
            </w14:solidFill>
          </w14:textFill>
        </w:rPr>
        <w:t>公共资源交易中心与竞得人签订《</w:t>
      </w:r>
      <w:r>
        <w:rPr>
          <w:rFonts w:hint="eastAsia" w:ascii="仿宋_GB2312" w:hAnsi="仿宋" w:eastAsia="仿宋_GB2312"/>
          <w:color w:val="000000" w:themeColor="text1"/>
          <w:sz w:val="32"/>
          <w:szCs w:val="32"/>
          <w:lang w:val="en-US" w:eastAsia="zh-CN"/>
          <w14:textFill>
            <w14:solidFill>
              <w14:schemeClr w14:val="tx1"/>
            </w14:solidFill>
          </w14:textFill>
        </w:rPr>
        <w:t>陆丰市</w:t>
      </w:r>
      <w:r>
        <w:rPr>
          <w:rFonts w:hint="eastAsia" w:ascii="仿宋_GB2312" w:hAnsi="仿宋" w:eastAsia="仿宋_GB2312"/>
          <w:color w:val="000000" w:themeColor="text1"/>
          <w:sz w:val="32"/>
          <w:szCs w:val="32"/>
          <w14:textFill>
            <w14:solidFill>
              <w14:schemeClr w14:val="tx1"/>
            </w14:solidFill>
          </w14:textFill>
        </w:rPr>
        <w:t>农村集体经营性建设用地成交确认书》。</w:t>
      </w:r>
    </w:p>
    <w:p w14:paraId="6C695AD3">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第十</w:t>
      </w:r>
      <w:r>
        <w:rPr>
          <w:rFonts w:hint="eastAsia" w:ascii="黑体" w:hAnsi="黑体" w:eastAsia="黑体" w:cs="黑体"/>
          <w:color w:val="000000" w:themeColor="text1"/>
          <w:sz w:val="32"/>
          <w:szCs w:val="32"/>
          <w:lang w:val="en-US" w:eastAsia="zh-CN"/>
          <w14:textFill>
            <w14:solidFill>
              <w14:schemeClr w14:val="tx1"/>
            </w14:solidFill>
          </w14:textFill>
        </w:rPr>
        <w:t>四</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以招标、拍卖或者挂牌方式确定中标人、竞得人后，中标人、竞得人支付的投标、竞买保证金，转作受让地块的出让金。</w:t>
      </w:r>
      <w:r>
        <w:rPr>
          <w:rFonts w:hint="eastAsia" w:ascii="仿宋_GB2312" w:eastAsia="仿宋_GB2312"/>
          <w:color w:val="000000" w:themeColor="text1"/>
          <w:sz w:val="32"/>
          <w:szCs w:val="32"/>
          <w:lang w:val="en-US"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公共资源交易中心应当向中标人发出中标通知书或者与竞得人签订成交确认书。</w:t>
      </w:r>
    </w:p>
    <w:p w14:paraId="6E00F7D4">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中标通知书或者成交确认书应当包括出让人和中标人或者竞得人的名称，出让标的，成交时间、地点、价款以及签订使用权出让合同的时间、地点等内容。</w:t>
      </w:r>
    </w:p>
    <w:p w14:paraId="2F903DB7">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中标通知书或者成交确认书对出让人和中标人或者竞得人具有法律效力。出让人改变竞得结果，或者中标人、竞得人放弃中标宗地、竞得宗地的，应当依法承担责任。</w:t>
      </w:r>
    </w:p>
    <w:p w14:paraId="6D36439E">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第十</w:t>
      </w:r>
      <w:r>
        <w:rPr>
          <w:rFonts w:hint="eastAsia" w:ascii="黑体" w:hAnsi="黑体" w:eastAsia="黑体" w:cs="黑体"/>
          <w:color w:val="000000" w:themeColor="text1"/>
          <w:sz w:val="32"/>
          <w:szCs w:val="32"/>
          <w:lang w:val="en-US" w:eastAsia="zh-CN"/>
          <w14:textFill>
            <w14:solidFill>
              <w14:schemeClr w14:val="tx1"/>
            </w14:solidFill>
          </w14:textFill>
        </w:rPr>
        <w:t>五</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中标人、竞得人应当按照中标通知书或者成交确认书约定的时间，与出让人签订使用权出让合同。中标人、竞得人支付的投标、竞买保证金抵作土地出让价款；其他投标人、竞买人支付的投标、竞买保证金，</w:t>
      </w:r>
      <w:r>
        <w:rPr>
          <w:rFonts w:hint="eastAsia" w:ascii="仿宋_GB2312" w:eastAsia="仿宋_GB2312"/>
          <w:color w:val="000000" w:themeColor="text1"/>
          <w:sz w:val="32"/>
          <w:szCs w:val="32"/>
          <w:lang w:val="en-US"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公共资源交易中心必须在招标拍卖挂牌活动结束后5个工作日内予以退还，不计利息。</w:t>
      </w:r>
    </w:p>
    <w:p w14:paraId="36F3C0B8">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第十</w:t>
      </w:r>
      <w:r>
        <w:rPr>
          <w:rFonts w:hint="eastAsia" w:ascii="黑体" w:hAnsi="黑体" w:eastAsia="黑体" w:cs="黑体"/>
          <w:color w:val="000000" w:themeColor="text1"/>
          <w:sz w:val="32"/>
          <w:szCs w:val="32"/>
          <w:lang w:val="en-US" w:eastAsia="zh-CN"/>
          <w14:textFill>
            <w14:solidFill>
              <w14:schemeClr w14:val="tx1"/>
            </w14:solidFill>
          </w14:textFill>
        </w:rPr>
        <w:t>六</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招标拍卖挂牌活动结束后，出让人应在10日内将出让结果在集体经济组织事务公示栏和</w:t>
      </w:r>
      <w:r>
        <w:rPr>
          <w:rFonts w:hint="eastAsia" w:ascii="仿宋_GB2312" w:eastAsia="仿宋_GB2312"/>
          <w:color w:val="000000" w:themeColor="text1"/>
          <w:sz w:val="32"/>
          <w:szCs w:val="32"/>
          <w:lang w:val="en-US"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公共资源交易中心等场所进行公示，接受监督。出让人公示出让结果，不得向受让人收取费用。</w:t>
      </w:r>
    </w:p>
    <w:p w14:paraId="294732F1">
      <w:pPr>
        <w:adjustRightInd w:val="0"/>
        <w:snapToGrid w:val="0"/>
        <w:spacing w:line="560" w:lineRule="exact"/>
        <w:rPr>
          <w:rFonts w:ascii="仿宋_GB2312" w:eastAsia="仿宋_GB2312"/>
          <w:color w:val="000000" w:themeColor="text1"/>
          <w:sz w:val="32"/>
          <w:szCs w:val="32"/>
          <w14:textFill>
            <w14:solidFill>
              <w14:schemeClr w14:val="tx1"/>
            </w14:solidFill>
          </w14:textFill>
        </w:rPr>
      </w:pPr>
    </w:p>
    <w:p w14:paraId="429C371E">
      <w:pPr>
        <w:adjustRightInd w:val="0"/>
        <w:snapToGrid w:val="0"/>
        <w:spacing w:line="560" w:lineRule="exact"/>
        <w:jc w:val="center"/>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lang w:val="en-US"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章 合同管理</w:t>
      </w:r>
    </w:p>
    <w:p w14:paraId="48EBC7D1">
      <w:pPr>
        <w:adjustRightInd w:val="0"/>
        <w:snapToGrid w:val="0"/>
        <w:spacing w:line="560" w:lineRule="exact"/>
        <w:jc w:val="center"/>
        <w:rPr>
          <w:rFonts w:ascii="仿宋_GB2312" w:eastAsia="仿宋_GB2312"/>
          <w:b/>
          <w:bCs/>
          <w:color w:val="000000" w:themeColor="text1"/>
          <w:sz w:val="32"/>
          <w:szCs w:val="32"/>
          <w14:textFill>
            <w14:solidFill>
              <w14:schemeClr w14:val="tx1"/>
            </w14:solidFill>
          </w14:textFill>
        </w:rPr>
      </w:pPr>
    </w:p>
    <w:p w14:paraId="01212CF2">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lang w:val="en-US" w:eastAsia="zh-CN"/>
          <w14:textFill>
            <w14:solidFill>
              <w14:schemeClr w14:val="tx1"/>
            </w14:solidFill>
          </w14:textFill>
        </w:rPr>
        <w:t>十七</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出让合同应当载明以下主要内容:</w:t>
      </w:r>
    </w:p>
    <w:p w14:paraId="3C053D5F">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（一）出让地块的位置、面积、用途及规划要求；</w:t>
      </w:r>
    </w:p>
    <w:p w14:paraId="40BBF439">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（二）土地使用权出让年限及土地使用权出让金；</w:t>
      </w:r>
    </w:p>
    <w:p w14:paraId="5C08105C">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（三）交付定金及缴纳土地使用权出让金的期限和方式，双方土地增值收益调节金缴纳的金额与方式；</w:t>
      </w:r>
    </w:p>
    <w:p w14:paraId="44F621D9">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（四）交付出让地块的期限和方式；</w:t>
      </w:r>
    </w:p>
    <w:p w14:paraId="2F848ADC">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（五）开发、利用、经营土地的方式和完成建设的期限；</w:t>
      </w:r>
    </w:p>
    <w:p w14:paraId="3B169617">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（六）有关土地使用权和地上建筑物、其他附着物转让、出租、抵押前提条件的约定；</w:t>
      </w:r>
    </w:p>
    <w:p w14:paraId="0E887843">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（七）国家征收土地时，土地补偿款的分配方法；</w:t>
      </w:r>
    </w:p>
    <w:p w14:paraId="7848AEE8">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（八）双方其他的权利、义务与违约责任；</w:t>
      </w:r>
    </w:p>
    <w:p w14:paraId="674BDE28">
      <w:pPr>
        <w:adjustRightInd w:val="0"/>
        <w:snapToGrid w:val="0"/>
        <w:spacing w:line="560" w:lineRule="exact"/>
        <w:ind w:firstLine="640" w:firstLineChars="200"/>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（九）纠纷的处理</w:t>
      </w:r>
      <w:r>
        <w:rPr>
          <w:rFonts w:hint="eastAsia" w:ascii="仿宋_GB2312" w:eastAsia="仿宋_GB2312"/>
          <w:color w:val="000000" w:themeColor="text1"/>
          <w:sz w:val="32"/>
          <w:szCs w:val="32"/>
          <w:lang w:eastAsia="zh-CN"/>
          <w14:textFill>
            <w14:solidFill>
              <w14:schemeClr w14:val="tx1"/>
            </w14:solidFill>
          </w14:textFill>
        </w:rPr>
        <w:t>；</w:t>
      </w:r>
    </w:p>
    <w:p w14:paraId="198E6C59">
      <w:pPr>
        <w:adjustRightInd w:val="0"/>
        <w:snapToGrid w:val="0"/>
        <w:spacing w:line="560" w:lineRule="exact"/>
        <w:ind w:firstLine="640" w:firstLineChars="200"/>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（十）出让双方约定的其他事项。</w:t>
      </w:r>
    </w:p>
    <w:p w14:paraId="0C0856DB">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lang w:val="en-US" w:eastAsia="zh-CN"/>
          <w14:textFill>
            <w14:solidFill>
              <w14:schemeClr w14:val="tx1"/>
            </w14:solidFill>
          </w14:textFill>
        </w:rPr>
        <w:t>十八</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受让人应在出让合同规定的期限内，缴纳全部土地使用权出让金。受让人支付的定金可抵充土地使用权出让金。</w:t>
      </w:r>
    </w:p>
    <w:p w14:paraId="5A499559">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第十</w:t>
      </w:r>
      <w:r>
        <w:rPr>
          <w:rFonts w:hint="eastAsia" w:ascii="黑体" w:hAnsi="黑体" w:eastAsia="黑体" w:cs="黑体"/>
          <w:color w:val="000000" w:themeColor="text1"/>
          <w:sz w:val="32"/>
          <w:szCs w:val="32"/>
          <w:lang w:val="en-US" w:eastAsia="zh-CN"/>
          <w14:textFill>
            <w14:solidFill>
              <w14:schemeClr w14:val="tx1"/>
            </w14:solidFill>
          </w14:textFill>
        </w:rPr>
        <w:t>九</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出让人应按照出让合同规定的期限和方式，交付己出让土地使用权的地块。</w:t>
      </w:r>
    </w:p>
    <w:p w14:paraId="109EF01C">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第二十条</w:t>
      </w:r>
      <w:r>
        <w:rPr>
          <w:rFonts w:hint="eastAsia" w:ascii="仿宋_GB2312" w:eastAsia="仿宋_GB2312"/>
          <w:color w:val="000000" w:themeColor="text1"/>
          <w:sz w:val="32"/>
          <w:szCs w:val="32"/>
          <w14:textFill>
            <w14:solidFill>
              <w14:schemeClr w14:val="tx1"/>
            </w14:solidFill>
          </w14:textFill>
        </w:rPr>
        <w:t xml:space="preserve"> 受让人应按照规定向自然资源管理部门办理登记，领取土地使用证，取得土地使用权。</w:t>
      </w:r>
    </w:p>
    <w:p w14:paraId="63AF7C53">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p>
    <w:p w14:paraId="4060B92E">
      <w:pPr>
        <w:adjustRightInd w:val="0"/>
        <w:snapToGrid w:val="0"/>
        <w:spacing w:line="560" w:lineRule="exact"/>
        <w:jc w:val="center"/>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lang w:val="en-US" w:eastAsia="zh-CN"/>
          <w14:textFill>
            <w14:solidFill>
              <w14:schemeClr w14:val="tx1"/>
            </w14:solidFill>
          </w14:textFill>
        </w:rPr>
        <w:t>四</w:t>
      </w:r>
      <w:r>
        <w:rPr>
          <w:rFonts w:hint="eastAsia" w:ascii="黑体" w:hAnsi="黑体" w:eastAsia="黑体" w:cs="黑体"/>
          <w:color w:val="000000" w:themeColor="text1"/>
          <w:sz w:val="32"/>
          <w:szCs w:val="32"/>
          <w14:textFill>
            <w14:solidFill>
              <w14:schemeClr w14:val="tx1"/>
            </w14:solidFill>
          </w14:textFill>
        </w:rPr>
        <w:t>章 附则</w:t>
      </w:r>
    </w:p>
    <w:p w14:paraId="0A7F6991">
      <w:pPr>
        <w:adjustRightInd w:val="0"/>
        <w:snapToGrid w:val="0"/>
        <w:spacing w:line="560" w:lineRule="exact"/>
        <w:jc w:val="center"/>
        <w:rPr>
          <w:rFonts w:ascii="仿宋_GB2312" w:eastAsia="仿宋_GB2312"/>
          <w:b/>
          <w:bCs/>
          <w:color w:val="000000" w:themeColor="text1"/>
          <w:sz w:val="32"/>
          <w:szCs w:val="32"/>
          <w14:textFill>
            <w14:solidFill>
              <w14:schemeClr w14:val="tx1"/>
            </w14:solidFill>
          </w14:textFill>
        </w:rPr>
      </w:pPr>
    </w:p>
    <w:p w14:paraId="1E815AFE">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第二十</w:t>
      </w:r>
      <w:r>
        <w:rPr>
          <w:rFonts w:hint="eastAsia" w:ascii="黑体" w:hAnsi="黑体" w:eastAsia="黑体" w:cs="黑体"/>
          <w:color w:val="000000" w:themeColor="text1"/>
          <w:sz w:val="32"/>
          <w:szCs w:val="32"/>
          <w:lang w:val="en-US" w:eastAsia="zh-CN"/>
          <w14:textFill>
            <w14:solidFill>
              <w14:schemeClr w14:val="tx1"/>
            </w14:solidFill>
          </w14:textFill>
        </w:rPr>
        <w:t>一</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受让人有下列行为之一的，交易结果无效；造成损失的，应当依法承担赔偿责任:</w:t>
      </w:r>
    </w:p>
    <w:p w14:paraId="3188F2AF">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（一）提供虚假文件隐瞒事实的；</w:t>
      </w:r>
    </w:p>
    <w:p w14:paraId="6C55CDFF">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（二）采取行贿、恶意串通等非法手段中标或者竞得的。</w:t>
      </w:r>
    </w:p>
    <w:p w14:paraId="460CF040">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第二十</w:t>
      </w:r>
      <w:r>
        <w:rPr>
          <w:rFonts w:hint="eastAsia" w:ascii="黑体" w:hAnsi="黑体" w:eastAsia="黑体" w:cs="黑体"/>
          <w:color w:val="000000" w:themeColor="text1"/>
          <w:sz w:val="32"/>
          <w:szCs w:val="32"/>
          <w:lang w:val="en-US"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 xml:space="preserve">条 </w:t>
      </w:r>
      <w:r>
        <w:rPr>
          <w:rFonts w:hint="eastAsia" w:ascii="仿宋_GB2312" w:eastAsia="仿宋_GB2312"/>
          <w:color w:val="000000" w:themeColor="text1"/>
          <w:sz w:val="32"/>
          <w:szCs w:val="32"/>
          <w14:textFill>
            <w14:solidFill>
              <w14:schemeClr w14:val="tx1"/>
            </w14:solidFill>
          </w14:textFill>
        </w:rPr>
        <w:t>工作人员在招标拍卖挂牌出让活动中玩忽职守、滥用职权、徇私舞弊的，依法追究责任。</w:t>
      </w:r>
    </w:p>
    <w:p w14:paraId="37721379">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第二十</w:t>
      </w:r>
      <w:r>
        <w:rPr>
          <w:rFonts w:hint="eastAsia" w:ascii="黑体" w:hAnsi="黑体" w:eastAsia="黑体" w:cs="黑体"/>
          <w:color w:val="000000" w:themeColor="text1"/>
          <w:sz w:val="32"/>
          <w:szCs w:val="32"/>
          <w:lang w:val="en-US"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条</w:t>
      </w:r>
      <w:r>
        <w:rPr>
          <w:rFonts w:hint="eastAsia" w:ascii="仿宋_GB2312" w:eastAsia="仿宋_GB2312"/>
          <w:color w:val="000000" w:themeColor="text1"/>
          <w:sz w:val="32"/>
          <w:szCs w:val="32"/>
          <w14:textFill>
            <w14:solidFill>
              <w14:schemeClr w14:val="tx1"/>
            </w14:solidFill>
          </w14:textFill>
        </w:rPr>
        <w:t xml:space="preserve"> 以招标、拍卖、挂牌</w:t>
      </w:r>
      <w:bookmarkStart w:id="0" w:name="_GoBack"/>
      <w:bookmarkEnd w:id="0"/>
      <w:r>
        <w:rPr>
          <w:rFonts w:hint="eastAsia" w:ascii="仿宋_GB2312" w:eastAsia="仿宋_GB2312"/>
          <w:color w:val="000000" w:themeColor="text1"/>
          <w:sz w:val="32"/>
          <w:szCs w:val="32"/>
          <w14:textFill>
            <w14:solidFill>
              <w14:schemeClr w14:val="tx1"/>
            </w14:solidFill>
          </w14:textFill>
        </w:rPr>
        <w:t>方式租赁集体经营性建设用地使用权的，参照本规定执行。</w:t>
      </w:r>
    </w:p>
    <w:p w14:paraId="3B4C12C0">
      <w:pPr>
        <w:adjustRightInd w:val="0"/>
        <w:snapToGrid w:val="0"/>
        <w:spacing w:line="592" w:lineRule="exact"/>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第</w:t>
      </w:r>
      <w:r>
        <w:rPr>
          <w:rFonts w:hint="eastAsia" w:ascii="黑体" w:hAnsi="黑体" w:eastAsia="黑体" w:cs="黑体"/>
          <w:bCs/>
          <w:color w:val="000000" w:themeColor="text1"/>
          <w:sz w:val="32"/>
          <w:szCs w:val="32"/>
          <w:lang w:val="en-US" w:eastAsia="zh-CN"/>
          <w14:textFill>
            <w14:solidFill>
              <w14:schemeClr w14:val="tx1"/>
            </w14:solidFill>
          </w14:textFill>
        </w:rPr>
        <w:t>二十四</w:t>
      </w:r>
      <w:r>
        <w:rPr>
          <w:rFonts w:hint="eastAsia" w:ascii="黑体" w:hAnsi="黑体" w:eastAsia="黑体" w:cs="黑体"/>
          <w:bCs/>
          <w:color w:val="000000" w:themeColor="text1"/>
          <w:sz w:val="32"/>
          <w:szCs w:val="32"/>
          <w14:textFill>
            <w14:solidFill>
              <w14:schemeClr w14:val="tx1"/>
            </w14:solidFill>
          </w14:textFill>
        </w:rPr>
        <w:t>条</w:t>
      </w:r>
      <w:r>
        <w:rPr>
          <w:rFonts w:hint="eastAsia" w:ascii="仿宋_GB2312" w:hAnsi="仿宋" w:eastAsia="仿宋_GB2312"/>
          <w:color w:val="000000" w:themeColor="text1"/>
          <w:sz w:val="32"/>
          <w:szCs w:val="32"/>
          <w14:textFill>
            <w14:solidFill>
              <w14:schemeClr w14:val="tx1"/>
            </w14:solidFill>
          </w14:textFill>
        </w:rPr>
        <w:t xml:space="preserve"> 本</w:t>
      </w:r>
      <w:r>
        <w:rPr>
          <w:rFonts w:hint="eastAsia" w:ascii="仿宋_GB2312" w:hAnsi="仿宋" w:eastAsia="仿宋_GB2312"/>
          <w:color w:val="000000" w:themeColor="text1"/>
          <w:sz w:val="32"/>
          <w:szCs w:val="32"/>
          <w:lang w:val="en-US" w:eastAsia="zh-CN"/>
          <w14:textFill>
            <w14:solidFill>
              <w14:schemeClr w14:val="tx1"/>
            </w14:solidFill>
          </w14:textFill>
        </w:rPr>
        <w:t>规定</w:t>
      </w:r>
      <w:r>
        <w:rPr>
          <w:rFonts w:hint="eastAsia" w:ascii="仿宋_GB2312" w:hAnsi="仿宋" w:eastAsia="仿宋_GB2312"/>
          <w:color w:val="000000" w:themeColor="text1"/>
          <w:sz w:val="32"/>
          <w:szCs w:val="32"/>
          <w14:textFill>
            <w14:solidFill>
              <w14:schemeClr w14:val="tx1"/>
            </w14:solidFill>
          </w14:textFill>
        </w:rPr>
        <w:t>由</w:t>
      </w:r>
      <w:r>
        <w:rPr>
          <w:rFonts w:hint="eastAsia" w:ascii="仿宋_GB2312" w:eastAsia="仿宋_GB2312"/>
          <w:color w:val="000000" w:themeColor="text1"/>
          <w:sz w:val="32"/>
          <w:szCs w:val="32"/>
          <w:lang w:val="en-US" w:eastAsia="zh-CN"/>
          <w14:textFill>
            <w14:solidFill>
              <w14:schemeClr w14:val="tx1"/>
            </w14:solidFill>
          </w14:textFill>
        </w:rPr>
        <w:t>陆丰市自然资源局</w:t>
      </w:r>
      <w:r>
        <w:rPr>
          <w:rFonts w:hint="eastAsia" w:ascii="仿宋_GB2312" w:hAnsi="仿宋" w:eastAsia="仿宋_GB2312"/>
          <w:color w:val="000000" w:themeColor="text1"/>
          <w:sz w:val="32"/>
          <w:szCs w:val="32"/>
          <w14:textFill>
            <w14:solidFill>
              <w14:schemeClr w14:val="tx1"/>
            </w14:solidFill>
          </w14:textFill>
        </w:rPr>
        <w:t>负责解释。</w:t>
      </w:r>
    </w:p>
    <w:p w14:paraId="6D6050A7">
      <w:pPr>
        <w:adjustRightInd w:val="0"/>
        <w:snapToGrid w:val="0"/>
        <w:spacing w:line="592" w:lineRule="exact"/>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第</w:t>
      </w:r>
      <w:r>
        <w:rPr>
          <w:rFonts w:hint="eastAsia" w:ascii="黑体" w:hAnsi="黑体" w:eastAsia="黑体" w:cs="黑体"/>
          <w:bCs/>
          <w:color w:val="000000" w:themeColor="text1"/>
          <w:sz w:val="32"/>
          <w:szCs w:val="32"/>
          <w:lang w:val="en-US" w:eastAsia="zh-CN"/>
          <w14:textFill>
            <w14:solidFill>
              <w14:schemeClr w14:val="tx1"/>
            </w14:solidFill>
          </w14:textFill>
        </w:rPr>
        <w:t>二</w:t>
      </w:r>
      <w:r>
        <w:rPr>
          <w:rFonts w:hint="eastAsia" w:ascii="黑体" w:hAnsi="黑体" w:eastAsia="黑体" w:cs="黑体"/>
          <w:bCs/>
          <w:color w:val="000000" w:themeColor="text1"/>
          <w:sz w:val="32"/>
          <w:szCs w:val="32"/>
          <w14:textFill>
            <w14:solidFill>
              <w14:schemeClr w14:val="tx1"/>
            </w14:solidFill>
          </w14:textFill>
        </w:rPr>
        <w:t>十</w:t>
      </w:r>
      <w:r>
        <w:rPr>
          <w:rFonts w:hint="eastAsia" w:ascii="黑体" w:hAnsi="黑体" w:eastAsia="黑体" w:cs="黑体"/>
          <w:bCs/>
          <w:color w:val="000000" w:themeColor="text1"/>
          <w:sz w:val="32"/>
          <w:szCs w:val="32"/>
          <w:lang w:val="en-US" w:eastAsia="zh-CN"/>
          <w14:textFill>
            <w14:solidFill>
              <w14:schemeClr w14:val="tx1"/>
            </w14:solidFill>
          </w14:textFill>
        </w:rPr>
        <w:t>五</w:t>
      </w:r>
      <w:r>
        <w:rPr>
          <w:rFonts w:hint="eastAsia" w:ascii="黑体" w:hAnsi="黑体" w:eastAsia="黑体" w:cs="黑体"/>
          <w:bCs/>
          <w:color w:val="000000" w:themeColor="text1"/>
          <w:sz w:val="32"/>
          <w:szCs w:val="32"/>
          <w14:textFill>
            <w14:solidFill>
              <w14:schemeClr w14:val="tx1"/>
            </w14:solidFill>
          </w14:textFill>
        </w:rPr>
        <w:t>条</w:t>
      </w:r>
      <w:r>
        <w:rPr>
          <w:rFonts w:hint="eastAsia" w:ascii="仿宋_GB2312" w:hAnsi="仿宋" w:eastAsia="仿宋_GB2312"/>
          <w:color w:val="000000" w:themeColor="text1"/>
          <w:sz w:val="32"/>
          <w:szCs w:val="32"/>
          <w14:textFill>
            <w14:solidFill>
              <w14:schemeClr w14:val="tx1"/>
            </w14:solidFill>
          </w14:textFill>
        </w:rPr>
        <w:t xml:space="preserve"> 本</w:t>
      </w:r>
      <w:r>
        <w:rPr>
          <w:rFonts w:hint="eastAsia" w:ascii="仿宋_GB2312" w:hAnsi="仿宋" w:eastAsia="仿宋_GB2312"/>
          <w:color w:val="000000" w:themeColor="text1"/>
          <w:sz w:val="32"/>
          <w:szCs w:val="32"/>
          <w:lang w:val="en-US" w:eastAsia="zh-CN"/>
          <w14:textFill>
            <w14:solidFill>
              <w14:schemeClr w14:val="tx1"/>
            </w14:solidFill>
          </w14:textFill>
        </w:rPr>
        <w:t>规定</w:t>
      </w:r>
      <w:r>
        <w:rPr>
          <w:rFonts w:hint="eastAsia" w:ascii="仿宋_GB2312" w:hAnsi="仿宋" w:eastAsia="仿宋_GB2312"/>
          <w:color w:val="000000" w:themeColor="text1"/>
          <w:sz w:val="32"/>
          <w:szCs w:val="32"/>
          <w14:textFill>
            <w14:solidFill>
              <w14:schemeClr w14:val="tx1"/>
            </w14:solidFill>
          </w14:textFill>
        </w:rPr>
        <w:t>自发布之日起施行，有效期为2年。本</w:t>
      </w:r>
      <w:r>
        <w:rPr>
          <w:rFonts w:hint="eastAsia" w:ascii="仿宋_GB2312" w:hAnsi="仿宋" w:eastAsia="仿宋_GB2312"/>
          <w:color w:val="000000" w:themeColor="text1"/>
          <w:sz w:val="32"/>
          <w:szCs w:val="32"/>
          <w:lang w:val="en-US" w:eastAsia="zh-CN"/>
          <w14:textFill>
            <w14:solidFill>
              <w14:schemeClr w14:val="tx1"/>
            </w14:solidFill>
          </w14:textFill>
        </w:rPr>
        <w:t>规定</w:t>
      </w:r>
      <w:r>
        <w:rPr>
          <w:rFonts w:hint="eastAsia" w:ascii="仿宋_GB2312" w:hAnsi="仿宋" w:eastAsia="仿宋_GB2312"/>
          <w:color w:val="000000" w:themeColor="text1"/>
          <w:sz w:val="32"/>
          <w:szCs w:val="32"/>
          <w14:textFill>
            <w14:solidFill>
              <w14:schemeClr w14:val="tx1"/>
            </w14:solidFill>
          </w14:textFill>
        </w:rPr>
        <w:t>执行期间，如遇法律、法规和上级政策调整，以法律、法规和上级政策为准。</w:t>
      </w:r>
    </w:p>
    <w:p w14:paraId="2BCB9E51">
      <w:pPr>
        <w:adjustRightInd w:val="0"/>
        <w:snapToGrid w:val="0"/>
        <w:spacing w:line="500" w:lineRule="exact"/>
        <w:ind w:firstLine="640" w:firstLineChars="200"/>
        <w:rPr>
          <w:rFonts w:ascii="仿宋_GB2312" w:eastAsia="仿宋_GB2312"/>
          <w:sz w:val="32"/>
          <w:szCs w:val="32"/>
        </w:rPr>
      </w:pPr>
    </w:p>
    <w:p w14:paraId="0BE54B9E">
      <w:pPr>
        <w:rPr>
          <w:rFonts w:ascii="仿宋_GB2312" w:hAnsi="仿宋_GB2312" w:eastAsia="仿宋_GB2312" w:cs="仿宋_GB2312"/>
          <w:sz w:val="32"/>
          <w:szCs w:val="32"/>
        </w:rPr>
      </w:pPr>
    </w:p>
    <w:p w14:paraId="241D8116">
      <w:pPr>
        <w:tabs>
          <w:tab w:val="left" w:pos="5229"/>
        </w:tabs>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ab/>
      </w:r>
    </w:p>
    <w:p w14:paraId="7676E12E">
      <w:pPr>
        <w:adjustRightInd w:val="0"/>
        <w:snapToGrid w:val="0"/>
        <w:spacing w:line="592" w:lineRule="exact"/>
        <w:rPr>
          <w:rFonts w:ascii="仿宋_GB2312" w:eastAsia="仿宋_GB2312" w:hAnsiTheme="minorHAnsi" w:cstheme="minorBidi"/>
          <w:sz w:val="32"/>
          <w:szCs w:val="32"/>
        </w:rPr>
      </w:pPr>
    </w:p>
    <w:sectPr>
      <w:headerReference r:id="rId3" w:type="default"/>
      <w:footerReference r:id="rId4" w:type="default"/>
      <w:pgSz w:w="11906" w:h="16838"/>
      <w:pgMar w:top="2041" w:right="1587" w:bottom="1757"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8A6BC">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-181610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BC95F1C">
                          <w:pPr>
                            <w:pStyle w:val="2"/>
                            <w:rPr>
                              <w:rFonts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- 9 -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4.3pt;height:144pt;width:144pt;mso-position-horizontal:outside;mso-position-horizontal-relative:margin;mso-wrap-style:none;z-index:251659264;mso-width-relative:page;mso-height-relative:page;" filled="f" stroked="f" coordsize="21600,21600" o:gfxdata="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QxQHSzMMBESn3p&#10;0Qrtvh347E1xBk1n+jnxlm9qlLJlPjwwh8FA+Xg64R5LKQ1SmsGipDLuy7/OYzz6BS8lDQYtpxrv&#10;ihL5XqOPAAyj4UZjPxr6qO4MJhe9QS2diQsuyNEsnVGf8Z5WMQdcTHNkymkYzbvQDzveIxerVRd0&#10;tK4+VP0FTKFlYat3lsc0USpvV8cAaTvFo0C9KuhU3GAOu54NbyYO+p/7LurxP7H8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0hNnXWAAAACAEAAA8AAAAAAAAAAQAgAAAAIgAAAGRycy9kb3ducmV2&#10;LnhtbFBLAQIUABQAAAAIAIdO4kC9dBt2NwIAAG8EAAAOAAAAAAAAAAEAIAAAACUBAABkcnMvZTJv&#10;RG9jLnhtbFBLBQYAAAAABgAGAFkBAADOBQAAAAA=&#10;">
              <v:fill on="f" focussize="0,0"/>
              <v:stroke on="f" weight="0.5pt"/>
              <v:imagedata o:title=""/>
              <o:lock v:ext="edit" aspectratio="f"/>
              <v:textbox inset="0mm,0mm,0mm,0mm" style="mso-fit-shape-to-text:t;">
                <w:txbxContent>
                  <w:p w14:paraId="5BC95F1C">
                    <w:pPr>
                      <w:pStyle w:val="2"/>
                      <w:rPr>
                        <w:rFonts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- 9 -</w:t>
                    </w:r>
                    <w:r>
                      <w:rPr>
                        <w:rFonts w:hint="eastAsia"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B2269">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3NmFiNmU0YWQ4YmQzNWIwMjZlNzk2ZTQyY2I2OGIifQ=="/>
  </w:docVars>
  <w:rsids>
    <w:rsidRoot w:val="00ED237E"/>
    <w:rsid w:val="00047D09"/>
    <w:rsid w:val="000A279E"/>
    <w:rsid w:val="00341BAE"/>
    <w:rsid w:val="0042494A"/>
    <w:rsid w:val="004C1F48"/>
    <w:rsid w:val="004F18E5"/>
    <w:rsid w:val="005C106E"/>
    <w:rsid w:val="005F6ED3"/>
    <w:rsid w:val="00645C37"/>
    <w:rsid w:val="00706B46"/>
    <w:rsid w:val="009627DC"/>
    <w:rsid w:val="009E67B2"/>
    <w:rsid w:val="00AF5595"/>
    <w:rsid w:val="00B34BC6"/>
    <w:rsid w:val="00C365B6"/>
    <w:rsid w:val="00C76E15"/>
    <w:rsid w:val="00D51539"/>
    <w:rsid w:val="00D54C29"/>
    <w:rsid w:val="00DB5426"/>
    <w:rsid w:val="00DB6A97"/>
    <w:rsid w:val="00ED237E"/>
    <w:rsid w:val="031970B5"/>
    <w:rsid w:val="04790495"/>
    <w:rsid w:val="0AAE08AA"/>
    <w:rsid w:val="0BD9416D"/>
    <w:rsid w:val="0C814AD6"/>
    <w:rsid w:val="0D2F46EC"/>
    <w:rsid w:val="0FDE6B49"/>
    <w:rsid w:val="11504B2E"/>
    <w:rsid w:val="18163A40"/>
    <w:rsid w:val="1A103AB8"/>
    <w:rsid w:val="1A1458BD"/>
    <w:rsid w:val="1B3C56AA"/>
    <w:rsid w:val="21521DCA"/>
    <w:rsid w:val="21D020B2"/>
    <w:rsid w:val="24E63376"/>
    <w:rsid w:val="2656129F"/>
    <w:rsid w:val="299B3152"/>
    <w:rsid w:val="29CA6F61"/>
    <w:rsid w:val="2A5A1427"/>
    <w:rsid w:val="2B455D73"/>
    <w:rsid w:val="30593F68"/>
    <w:rsid w:val="38217B91"/>
    <w:rsid w:val="3F0D7A76"/>
    <w:rsid w:val="40FB3553"/>
    <w:rsid w:val="423E1FCB"/>
    <w:rsid w:val="42C93728"/>
    <w:rsid w:val="45203D7F"/>
    <w:rsid w:val="48415944"/>
    <w:rsid w:val="48EB286A"/>
    <w:rsid w:val="4D5650CD"/>
    <w:rsid w:val="50A4574F"/>
    <w:rsid w:val="51CA2EB1"/>
    <w:rsid w:val="54B07B2A"/>
    <w:rsid w:val="54DD268A"/>
    <w:rsid w:val="556C7A25"/>
    <w:rsid w:val="57754D56"/>
    <w:rsid w:val="589E00EC"/>
    <w:rsid w:val="5B1D2EDA"/>
    <w:rsid w:val="5DC4111A"/>
    <w:rsid w:val="5E564037"/>
    <w:rsid w:val="5F9608FD"/>
    <w:rsid w:val="62322D3F"/>
    <w:rsid w:val="663E0E78"/>
    <w:rsid w:val="668D7BAA"/>
    <w:rsid w:val="6A3A3435"/>
    <w:rsid w:val="6B1D730B"/>
    <w:rsid w:val="6C5329CF"/>
    <w:rsid w:val="6ECE4ADB"/>
    <w:rsid w:val="6FA25A86"/>
    <w:rsid w:val="74DB57E0"/>
    <w:rsid w:val="77682476"/>
    <w:rsid w:val="7C0763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autoRedefine/>
    <w:unhideWhenUsed/>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7">
    <w:name w:val="页眉 Char"/>
    <w:basedOn w:val="6"/>
    <w:link w:val="3"/>
    <w:autoRedefine/>
    <w:qFormat/>
    <w:uiPriority w:val="0"/>
    <w:rPr>
      <w:rFonts w:ascii="Times New Roman" w:hAnsi="Times New Roman" w:eastAsia="宋体" w:cs="Times New Roman"/>
      <w:sz w:val="18"/>
      <w:szCs w:val="18"/>
    </w:rPr>
  </w:style>
  <w:style w:type="character" w:customStyle="1" w:styleId="8">
    <w:name w:val="页脚 Char"/>
    <w:basedOn w:val="6"/>
    <w:link w:val="2"/>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3765</Words>
  <Characters>3783</Characters>
  <Lines>28</Lines>
  <Paragraphs>7</Paragraphs>
  <TotalTime>10</TotalTime>
  <ScaleCrop>false</ScaleCrop>
  <LinksUpToDate>false</LinksUpToDate>
  <CharactersWithSpaces>3821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2020-03-27T01:22:00Z</dcterms:created>
  <dc:creator>peng</dc:creator>
  <cp:lastModifiedBy>Hongdian</cp:lastModifiedBy>
  <cp:lastPrinted>2026-07-20T02:40:44Z</cp:lastPrinted>
  <dcterms:modified xsi:type="dcterms:W3CDTF">2026-07-20T02:42:15Z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A81C666274864A76921A49B658446396_13</vt:lpwstr>
  </property>
  <property fmtid="{D5CDD505-2E9C-101B-9397-08002B2CF9AE}" pid="4" name="KSOTemplateDocerSaveRecord">
    <vt:lpwstr>eyJoZGlkIjoiMDA3NmFiNmU0YWQ4YmQzNWIwMjZlNzk2ZTQyY2I2OGIiLCJ1c2VySWQiOiI0ODI3ODU4MDYifQ==</vt:lpwstr>
  </property>
</Properties>
</file>