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DAB0C">
      <w:pPr>
        <w:keepNext w:val="0"/>
        <w:keepLines w:val="0"/>
        <w:pageBreakBefore w:val="0"/>
        <w:kinsoku/>
        <w:wordWrap/>
        <w:overflowPunct/>
        <w:topLinePunct w:val="0"/>
        <w:autoSpaceDE/>
        <w:autoSpaceDN/>
        <w:bidi w:val="0"/>
        <w:adjustRightInd/>
        <w:snapToGrid w:val="0"/>
        <w:spacing w:line="600" w:lineRule="exact"/>
        <w:ind w:right="0"/>
        <w:jc w:val="both"/>
        <w:rPr>
          <w:rStyle w:val="11"/>
          <w:rFonts w:hint="eastAsia" w:ascii="仿宋_GB2312" w:hAnsi="仿宋_GB2312" w:eastAsia="仿宋_GB2312" w:cs="仿宋_GB2312"/>
          <w:color w:val="000000"/>
          <w:kern w:val="0"/>
          <w:sz w:val="32"/>
          <w:szCs w:val="32"/>
          <w:lang w:val="en-US" w:eastAsia="zh-CN"/>
        </w:rPr>
      </w:pPr>
      <w:bookmarkStart w:id="0" w:name="_GoBack"/>
      <w:bookmarkEnd w:id="0"/>
      <w:r>
        <w:rPr>
          <w:rStyle w:val="11"/>
          <w:rFonts w:hint="eastAsia" w:ascii="仿宋_GB2312" w:hAnsi="仿宋_GB2312" w:eastAsia="仿宋_GB2312" w:cs="仿宋_GB2312"/>
          <w:color w:val="000000"/>
          <w:kern w:val="0"/>
          <w:sz w:val="32"/>
          <w:szCs w:val="32"/>
          <w:lang w:val="en-US" w:eastAsia="zh-CN"/>
        </w:rPr>
        <w:t>附件：</w:t>
      </w:r>
    </w:p>
    <w:p w14:paraId="48FB1C03">
      <w:pPr>
        <w:keepNext w:val="0"/>
        <w:keepLines w:val="0"/>
        <w:pageBreakBefore w:val="0"/>
        <w:kinsoku/>
        <w:wordWrap/>
        <w:overflowPunct/>
        <w:topLinePunct w:val="0"/>
        <w:autoSpaceDE/>
        <w:autoSpaceDN/>
        <w:bidi w:val="0"/>
        <w:adjustRightInd/>
        <w:snapToGrid w:val="0"/>
        <w:spacing w:line="600" w:lineRule="exact"/>
        <w:ind w:left="0" w:leftChars="0" w:right="0" w:firstLine="880" w:firstLineChars="200"/>
        <w:jc w:val="center"/>
        <w:rPr>
          <w:rStyle w:val="11"/>
          <w:rFonts w:hint="eastAsia" w:ascii="方正小标宋_GBK" w:hAnsi="方正小标宋_GBK" w:eastAsia="方正小标宋_GBK" w:cs="方正小标宋_GBK"/>
          <w:color w:val="000000"/>
          <w:kern w:val="0"/>
          <w:sz w:val="44"/>
          <w:szCs w:val="44"/>
          <w:lang w:val="en-US" w:eastAsia="zh-CN"/>
        </w:rPr>
      </w:pPr>
    </w:p>
    <w:p w14:paraId="2E46487D">
      <w:pPr>
        <w:keepNext w:val="0"/>
        <w:keepLines w:val="0"/>
        <w:pageBreakBefore w:val="0"/>
        <w:kinsoku/>
        <w:wordWrap/>
        <w:overflowPunct/>
        <w:topLinePunct w:val="0"/>
        <w:autoSpaceDE/>
        <w:autoSpaceDN/>
        <w:bidi w:val="0"/>
        <w:adjustRightInd/>
        <w:snapToGrid w:val="0"/>
        <w:spacing w:line="600" w:lineRule="exact"/>
        <w:ind w:right="0" w:firstLine="880" w:firstLineChars="200"/>
        <w:jc w:val="both"/>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陆丰市2026年水稻合理密植提单产</w:t>
      </w:r>
    </w:p>
    <w:p w14:paraId="24F411CA">
      <w:pPr>
        <w:keepNext w:val="0"/>
        <w:keepLines w:val="0"/>
        <w:pageBreakBefore w:val="0"/>
        <w:kinsoku/>
        <w:wordWrap/>
        <w:overflowPunct/>
        <w:topLinePunct w:val="0"/>
        <w:autoSpaceDE/>
        <w:autoSpaceDN/>
        <w:bidi w:val="0"/>
        <w:adjustRightInd/>
        <w:snapToGrid w:val="0"/>
        <w:spacing w:line="600" w:lineRule="exact"/>
        <w:ind w:right="0" w:firstLine="2640" w:firstLineChars="600"/>
        <w:jc w:val="both"/>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项目实施方案</w:t>
      </w:r>
    </w:p>
    <w:p w14:paraId="300151B7">
      <w:pPr>
        <w:keepNext w:val="0"/>
        <w:keepLines w:val="0"/>
        <w:pageBreakBefore w:val="0"/>
        <w:kinsoku/>
        <w:wordWrap/>
        <w:overflowPunct/>
        <w:topLinePunct w:val="0"/>
        <w:autoSpaceDE/>
        <w:autoSpaceDN/>
        <w:bidi w:val="0"/>
        <w:adjustRightInd/>
        <w:snapToGrid w:val="0"/>
        <w:spacing w:line="600" w:lineRule="exact"/>
        <w:ind w:right="0" w:firstLine="2560" w:firstLineChars="800"/>
        <w:jc w:val="both"/>
        <w:rPr>
          <w:rFonts w:hint="eastAsia" w:ascii="方正小标宋_GBK" w:hAnsi="方正小标宋_GBK" w:eastAsia="方正小标宋_GBK" w:cs="方正小标宋_GBK"/>
          <w:sz w:val="44"/>
          <w:szCs w:val="44"/>
          <w:highlight w:val="none"/>
          <w:lang w:val="en-US" w:eastAsia="zh-CN"/>
        </w:rPr>
      </w:pPr>
      <w:r>
        <w:rPr>
          <w:rFonts w:hint="eastAsia" w:ascii="仿宋_GB2312" w:hAnsi="仿宋_GB2312" w:eastAsia="仿宋_GB2312" w:cs="仿宋_GB2312"/>
          <w:sz w:val="32"/>
          <w:szCs w:val="32"/>
          <w:highlight w:val="none"/>
          <w:lang w:val="en-US" w:eastAsia="zh-CN"/>
        </w:rPr>
        <w:t>（征求意见修正稿）</w:t>
      </w:r>
    </w:p>
    <w:p w14:paraId="6C91B98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center"/>
        <w:textAlignment w:val="auto"/>
        <w:outlineLvl w:val="9"/>
        <w:rPr>
          <w:rFonts w:hint="eastAsia" w:ascii="仿宋_GB2312" w:hAnsi="仿宋_GB2312" w:eastAsia="仿宋_GB2312" w:cs="仿宋_GB2312"/>
          <w:bCs/>
          <w:color w:val="auto"/>
          <w:kern w:val="0"/>
          <w:sz w:val="32"/>
          <w:szCs w:val="32"/>
          <w:lang w:val="en-US" w:eastAsia="zh-CN"/>
        </w:rPr>
      </w:pPr>
    </w:p>
    <w:p w14:paraId="6C56CAE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为深入实施“藏粮于地、藏粮于技”粮食安全战略，全方位夯实粮食安全根基，提升粮食安全生产能力，根据广东省农业农村厅</w:t>
      </w:r>
      <w:r>
        <w:rPr>
          <w:rFonts w:hint="eastAsia" w:ascii="仿宋_GB2312" w:hAnsi="仿宋_GB2312" w:eastAsia="仿宋_GB2312" w:cs="仿宋_GB2312"/>
          <w:sz w:val="32"/>
          <w:szCs w:val="32"/>
          <w:lang w:val="en-US" w:eastAsia="zh-CN"/>
        </w:rPr>
        <w:t>《关于印发2026年乡村振兴战略专项省级项目（第二批）入库申报指南的通知》、《关于印发2026年水稻合理密植提单产项目实施方案》（粤农农办〔2026〕34号）等文件</w:t>
      </w:r>
      <w:r>
        <w:rPr>
          <w:rFonts w:hint="eastAsia" w:ascii="仿宋_GB2312" w:hAnsi="仿宋_GB2312" w:eastAsia="仿宋_GB2312" w:cs="仿宋_GB2312"/>
          <w:bCs/>
          <w:color w:val="auto"/>
          <w:kern w:val="0"/>
          <w:sz w:val="32"/>
          <w:szCs w:val="32"/>
          <w:lang w:val="en-US" w:eastAsia="zh-CN"/>
        </w:rPr>
        <w:t>要求，结合我市水稻生产实际，制定本方案。</w:t>
      </w:r>
    </w:p>
    <w:p w14:paraId="4B3AF82C">
      <w:pPr>
        <w:keepNext w:val="0"/>
        <w:keepLines w:val="0"/>
        <w:pageBreakBefore w:val="0"/>
        <w:tabs>
          <w:tab w:val="left" w:pos="1425"/>
        </w:tabs>
        <w:kinsoku/>
        <w:wordWrap/>
        <w:overflowPunct/>
        <w:topLinePunct w:val="0"/>
        <w:autoSpaceDE/>
        <w:autoSpaceDN/>
        <w:bidi w:val="0"/>
        <w:adjustRightInd/>
        <w:snapToGrid w:val="0"/>
        <w:spacing w:line="600" w:lineRule="exact"/>
        <w:ind w:right="0" w:firstLine="640" w:firstLineChars="200"/>
        <w:rPr>
          <w:rStyle w:val="11"/>
          <w:rFonts w:hint="eastAsia" w:ascii="黑体" w:hAnsi="黑体" w:eastAsia="黑体" w:cs="黑体"/>
          <w:b w:val="0"/>
          <w:bCs/>
          <w:color w:val="000000"/>
          <w:kern w:val="0"/>
          <w:sz w:val="32"/>
          <w:szCs w:val="32"/>
          <w:lang w:eastAsia="zh-CN"/>
        </w:rPr>
      </w:pPr>
      <w:r>
        <w:rPr>
          <w:rStyle w:val="11"/>
          <w:rFonts w:hint="eastAsia" w:ascii="黑体" w:hAnsi="黑体" w:eastAsia="黑体" w:cs="黑体"/>
          <w:b w:val="0"/>
          <w:bCs/>
          <w:color w:val="000000"/>
          <w:kern w:val="0"/>
          <w:sz w:val="32"/>
          <w:szCs w:val="32"/>
          <w:lang w:eastAsia="zh-CN"/>
        </w:rPr>
        <w:t>一</w:t>
      </w:r>
      <w:r>
        <w:rPr>
          <w:rStyle w:val="11"/>
          <w:rFonts w:hint="eastAsia" w:ascii="黑体" w:hAnsi="黑体" w:eastAsia="黑体" w:cs="黑体"/>
          <w:b w:val="0"/>
          <w:bCs/>
          <w:color w:val="000000"/>
          <w:kern w:val="0"/>
          <w:sz w:val="32"/>
          <w:szCs w:val="32"/>
        </w:rPr>
        <w:t>、</w:t>
      </w:r>
      <w:r>
        <w:rPr>
          <w:rStyle w:val="11"/>
          <w:rFonts w:hint="eastAsia" w:ascii="黑体" w:hAnsi="黑体" w:eastAsia="黑体" w:cs="黑体"/>
          <w:b w:val="0"/>
          <w:bCs/>
          <w:color w:val="000000"/>
          <w:kern w:val="0"/>
          <w:sz w:val="32"/>
          <w:szCs w:val="32"/>
          <w:lang w:eastAsia="zh-CN"/>
        </w:rPr>
        <w:t>指导思想</w:t>
      </w:r>
    </w:p>
    <w:p w14:paraId="08C0E92C">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习近平新时代中国特色社会主义思想为指导，贯彻落实党中央、国务院关于粮食安全的决策部署，以及省委、省政府主要领导指示批示要求，稳面积、提单产、强密植的工作批示，全面落实粮食安全党政同责、粮食安全责任制考核，保障粮食生产安全。</w:t>
      </w:r>
    </w:p>
    <w:p w14:paraId="43923709">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二、总体目标</w:t>
      </w:r>
    </w:p>
    <w:p w14:paraId="382339A0">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全市大面积推广水稻合理密植技术，增加插秧密度和基本苗数，确保有效穗数增加，配套“一喷多促”等稳产增产技术，实现“多用一斤种，增收百斤粮”。鼓励推广机插秧、抛秧作业方式，提升插秧效率和密度控制精度，为进一步提升粮食产能、夯实粮食安全根基发挥积极作用。</w:t>
      </w:r>
    </w:p>
    <w:p w14:paraId="6CF5F037">
      <w:pPr>
        <w:keepNext w:val="0"/>
        <w:keepLines w:val="0"/>
        <w:pageBreakBefore w:val="0"/>
        <w:numPr>
          <w:ilvl w:val="0"/>
          <w:numId w:val="1"/>
        </w:numPr>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实施范围</w:t>
      </w:r>
    </w:p>
    <w:p w14:paraId="2A585A03">
      <w:pPr>
        <w:pStyle w:val="2"/>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jc w:val="both"/>
        <w:textAlignment w:val="auto"/>
        <w:rPr>
          <w:rFonts w:hint="default" w:eastAsiaTheme="minorEastAsia"/>
          <w:lang w:val="en-US" w:eastAsia="zh-CN"/>
        </w:rPr>
      </w:pPr>
      <w:r>
        <w:rPr>
          <w:rFonts w:hint="eastAsia"/>
        </w:rPr>
        <w:t>项目</w:t>
      </w:r>
      <w:r>
        <w:rPr>
          <w:rFonts w:hint="eastAsia"/>
          <w:lang w:val="en-US" w:eastAsia="zh-CN"/>
        </w:rPr>
        <w:t>实施范围</w:t>
      </w:r>
      <w:r>
        <w:rPr>
          <w:rFonts w:hint="eastAsia"/>
        </w:rPr>
        <w:t>为汕尾市陆丰市</w:t>
      </w:r>
      <w:r>
        <w:rPr>
          <w:rFonts w:hint="eastAsia"/>
          <w:lang w:val="en-US" w:eastAsia="zh-CN"/>
        </w:rPr>
        <w:t>所辖23个镇（街、区、场）</w:t>
      </w:r>
      <w:r>
        <w:rPr>
          <w:rFonts w:hint="eastAsia"/>
        </w:rPr>
        <w:t>。</w:t>
      </w:r>
    </w:p>
    <w:p w14:paraId="019B4108">
      <w:pPr>
        <w:keepNext w:val="0"/>
        <w:keepLines w:val="0"/>
        <w:pageBreakBefore w:val="0"/>
        <w:widowControl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lang w:val="en-US" w:eastAsia="zh-CN"/>
        </w:rPr>
        <w:t>实施内容</w:t>
      </w:r>
    </w:p>
    <w:p w14:paraId="35115B2B">
      <w:pPr>
        <w:keepNext w:val="0"/>
        <w:keepLines w:val="0"/>
        <w:pageBreakBefore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bCs/>
          <w:color w:val="auto"/>
          <w:kern w:val="0"/>
          <w:sz w:val="32"/>
          <w:szCs w:val="32"/>
          <w:lang w:val="en-US" w:eastAsia="zh-CN"/>
        </w:rPr>
      </w:pPr>
      <w:r>
        <w:rPr>
          <w:rFonts w:hint="eastAsia" w:ascii="楷体_GB2312" w:hAnsi="楷体_GB2312" w:eastAsia="楷体_GB2312" w:cs="楷体_GB2312"/>
          <w:bCs/>
          <w:color w:val="auto"/>
          <w:kern w:val="0"/>
          <w:sz w:val="32"/>
          <w:szCs w:val="32"/>
          <w:lang w:val="en-US" w:eastAsia="zh-CN" w:bidi="ar-SA"/>
        </w:rPr>
        <w:t>(一）</w:t>
      </w:r>
      <w:r>
        <w:rPr>
          <w:rFonts w:hint="eastAsia" w:ascii="楷体_GB2312" w:hAnsi="楷体_GB2312" w:eastAsia="楷体_GB2312" w:cs="楷体_GB2312"/>
          <w:b w:val="0"/>
          <w:bCs w:val="0"/>
          <w:sz w:val="32"/>
          <w:szCs w:val="32"/>
          <w:lang w:val="en-US" w:eastAsia="zh-CN"/>
        </w:rPr>
        <w:t>实施区域及实施主体：</w:t>
      </w:r>
      <w:r>
        <w:rPr>
          <w:rFonts w:hint="eastAsia" w:ascii="仿宋_GB2312" w:hAnsi="仿宋_GB2312" w:eastAsia="仿宋_GB2312" w:cs="仿宋_GB2312"/>
          <w:b w:val="0"/>
          <w:bCs w:val="0"/>
          <w:sz w:val="32"/>
          <w:szCs w:val="32"/>
          <w:lang w:val="en-US" w:eastAsia="zh-CN"/>
        </w:rPr>
        <w:t>按照《关于开展陆丰市2026年水稻合理密植提单产项目意向摸底调查的通知》，</w:t>
      </w:r>
      <w:r>
        <w:rPr>
          <w:rFonts w:hint="eastAsia" w:ascii="仿宋_GB2312" w:hAnsi="仿宋_GB2312" w:eastAsia="仿宋_GB2312" w:cs="仿宋_GB2312"/>
          <w:bCs/>
          <w:color w:val="auto"/>
          <w:kern w:val="0"/>
          <w:sz w:val="32"/>
          <w:szCs w:val="32"/>
          <w:lang w:val="en-US" w:eastAsia="zh-CN"/>
        </w:rPr>
        <w:t>各镇（街、场）发动组织符合条件的</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种植大户、家庭农场、农民合作社、农业企业、村经济组织等项目</w:t>
      </w:r>
      <w:r>
        <w:rPr>
          <w:rFonts w:hint="eastAsia" w:ascii="仿宋_GB2312" w:hAnsi="仿宋_GB2312" w:eastAsia="仿宋_GB2312" w:cs="仿宋_GB2312"/>
          <w:i w:val="0"/>
          <w:iCs w:val="0"/>
          <w:caps w:val="0"/>
          <w:color w:val="auto"/>
          <w:spacing w:val="0"/>
          <w:sz w:val="32"/>
          <w:szCs w:val="32"/>
          <w:shd w:val="clear" w:color="auto" w:fill="FFFFFF"/>
          <w:lang w:eastAsia="zh-CN"/>
        </w:rPr>
        <w:t>实施主体</w:t>
      </w:r>
      <w:r>
        <w:rPr>
          <w:rFonts w:hint="eastAsia" w:ascii="仿宋_GB2312" w:hAnsi="仿宋_GB2312" w:eastAsia="仿宋_GB2312" w:cs="仿宋_GB2312"/>
          <w:bCs/>
          <w:color w:val="auto"/>
          <w:kern w:val="0"/>
          <w:sz w:val="32"/>
          <w:szCs w:val="32"/>
          <w:lang w:val="en-US" w:eastAsia="zh-CN"/>
        </w:rPr>
        <w:t>积极参与，自愿申报，形成一份完整的水稻合理密植面积汇总表（详见附件2）报市农业农村局审核通过。</w:t>
      </w:r>
    </w:p>
    <w:p w14:paraId="51EB853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（二）实施面积：</w:t>
      </w:r>
      <w:r>
        <w:rPr>
          <w:rFonts w:hint="eastAsia" w:ascii="仿宋_GB2312" w:hAnsi="仿宋_GB2312" w:eastAsia="仿宋_GB2312" w:cs="仿宋_GB2312"/>
          <w:b w:val="0"/>
          <w:bCs w:val="0"/>
          <w:color w:val="auto"/>
          <w:kern w:val="0"/>
          <w:sz w:val="32"/>
          <w:szCs w:val="32"/>
          <w:highlight w:val="none"/>
          <w:lang w:val="en-US" w:eastAsia="zh-CN" w:bidi="ar-SA"/>
        </w:rPr>
        <w:t>实施面积共1.72万亩，其中：</w:t>
      </w:r>
      <w:r>
        <w:rPr>
          <w:rFonts w:hint="eastAsia" w:ascii="仿宋_GB2312" w:hAnsi="仿宋_GB2312" w:eastAsia="仿宋_GB2312" w:cs="仿宋_GB2312"/>
          <w:sz w:val="32"/>
          <w:szCs w:val="32"/>
          <w:highlight w:val="none"/>
          <w:lang w:val="en-US" w:eastAsia="zh-CN"/>
        </w:rPr>
        <w:t>计划</w:t>
      </w:r>
      <w:r>
        <w:rPr>
          <w:rFonts w:hint="eastAsia" w:ascii="仿宋_GB2312" w:hAnsi="仿宋_GB2312" w:eastAsia="仿宋_GB2312" w:cs="仿宋_GB2312"/>
          <w:b w:val="0"/>
          <w:bCs w:val="0"/>
          <w:color w:val="auto"/>
          <w:kern w:val="0"/>
          <w:sz w:val="32"/>
          <w:szCs w:val="32"/>
          <w:highlight w:val="none"/>
          <w:lang w:val="en-US" w:eastAsia="zh-CN" w:bidi="ar-SA"/>
        </w:rPr>
        <w:t>早稻实施面积1万亩，晚稻实施面积0.72万亩。</w:t>
      </w:r>
    </w:p>
    <w:p w14:paraId="248E1C9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楷体_GB2312" w:hAnsi="楷体_GB2312" w:eastAsia="楷体_GB2312" w:cs="楷体_GB2312"/>
          <w:b w:val="0"/>
          <w:bCs w:val="0"/>
          <w:color w:val="auto"/>
          <w:kern w:val="0"/>
          <w:sz w:val="32"/>
          <w:szCs w:val="32"/>
          <w:highlight w:val="none"/>
          <w:lang w:val="en-US" w:eastAsia="zh-CN" w:bidi="ar-SA"/>
        </w:rPr>
        <w:t>（三）实施时间：</w:t>
      </w:r>
      <w:r>
        <w:rPr>
          <w:rFonts w:hint="eastAsia" w:ascii="仿宋_GB2312" w:hAnsi="仿宋_GB2312" w:eastAsia="仿宋_GB2312" w:cs="仿宋_GB2312"/>
          <w:sz w:val="32"/>
          <w:szCs w:val="32"/>
          <w:highlight w:val="none"/>
          <w:lang w:val="en-US" w:eastAsia="zh-CN"/>
        </w:rPr>
        <w:t>2026年1月至10月实施。</w:t>
      </w:r>
    </w:p>
    <w:p w14:paraId="22B26E8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（四）项目补助方式：</w:t>
      </w:r>
      <w:r>
        <w:rPr>
          <w:rFonts w:hint="eastAsia" w:ascii="仿宋_GB2312" w:hAnsi="仿宋_GB2312" w:eastAsia="仿宋_GB2312" w:cs="仿宋_GB2312"/>
          <w:b w:val="0"/>
          <w:bCs w:val="0"/>
          <w:kern w:val="2"/>
          <w:sz w:val="32"/>
          <w:szCs w:val="32"/>
          <w:lang w:val="en-US" w:eastAsia="zh-CN" w:bidi="ar-SA"/>
        </w:rPr>
        <w:t>对实施区域内推广水稻合理密植技术的实施主体予以每亩150元补助</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对于在项目资金正式下达前，已按程序确定的承接主体按照项目实施要求提前开展机插秧服务的，其服务量可纳入补助范围，待资金到位后按规定予以补助。同时，为不误水稻生长时令，允许先期向实施主体预补发放所需优质种子，早造采取先建后补，晚造采取播种前补贴的方式进行</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相关费用在后续项目资金中统一核算。具体</w:t>
      </w:r>
      <w:r>
        <w:rPr>
          <w:rFonts w:hint="eastAsia" w:ascii="仿宋_GB2312" w:hAnsi="仿宋_GB2312" w:cs="仿宋_GB2312"/>
          <w:b w:val="0"/>
          <w:bCs w:val="0"/>
          <w:kern w:val="2"/>
          <w:sz w:val="32"/>
          <w:szCs w:val="32"/>
          <w:lang w:val="en-US" w:eastAsia="zh-CN" w:bidi="ar-SA"/>
        </w:rPr>
        <w:t>补贴标准</w:t>
      </w:r>
      <w:r>
        <w:rPr>
          <w:rFonts w:hint="eastAsia" w:ascii="仿宋_GB2312" w:hAnsi="仿宋_GB2312" w:eastAsia="仿宋_GB2312" w:cs="仿宋_GB2312"/>
          <w:b w:val="0"/>
          <w:bCs w:val="0"/>
          <w:kern w:val="2"/>
          <w:sz w:val="32"/>
          <w:szCs w:val="32"/>
          <w:lang w:val="en-US" w:eastAsia="zh-CN" w:bidi="ar-SA"/>
        </w:rPr>
        <w:t>如下：</w:t>
      </w:r>
    </w:p>
    <w:p w14:paraId="4A37139D">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kern w:val="2"/>
          <w:sz w:val="32"/>
          <w:szCs w:val="24"/>
          <w:lang w:val="en-US" w:eastAsia="zh-CN" w:bidi="ar-SA"/>
        </w:rPr>
        <w:t>1、</w:t>
      </w:r>
      <w:r>
        <w:rPr>
          <w:rFonts w:hint="eastAsia" w:ascii="仿宋_GB2312" w:hAnsi="仿宋_GB2312" w:cs="仿宋_GB2312"/>
          <w:kern w:val="2"/>
          <w:sz w:val="32"/>
          <w:szCs w:val="24"/>
          <w:lang w:val="en-US" w:eastAsia="zh-CN" w:bidi="ar-SA"/>
        </w:rPr>
        <w:t>优质</w:t>
      </w:r>
      <w:r>
        <w:rPr>
          <w:rFonts w:hint="eastAsia"/>
          <w:lang w:val="en-US" w:eastAsia="zh-CN"/>
        </w:rPr>
        <w:t>种子物化补助：推广耐密植，抗倒伏和病虫抗性较好的高产优质良种，每亩补助98元，以统一采购优质水稻种子的方式发放给实施主体。根据市场调查和水稻生产实际，拟采购水稻种子品种为：杂交优质稻品种（1. 隆望两优889(增香丝889）、2.野香优明月丝苗（粤审稻20220112）、3、野香优莉丝（粤审稻20210060）、4.红米(神农优红丝苗))。常规优质稻品种（1.聚香丝苗（粤审稻20210030）、2.靓优香、3.珍桂矮）。参与实施主体每造补助优质杂交稻种1.25公斤或优质常规稻种2.5公斤，相关品种可按实施种植主体的要求进行微调。（补充说明：该处不采纳网友的意见为优质种植品种需在我市进行表种后推广，未经表种试种的品种存在一定的风险，不予推广。）</w:t>
      </w:r>
    </w:p>
    <w:p w14:paraId="64DFB18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24"/>
          <w:lang w:val="en-US" w:eastAsia="zh-CN" w:bidi="ar-SA"/>
        </w:rPr>
        <w:t>2、</w:t>
      </w:r>
      <w:r>
        <w:rPr>
          <w:rFonts w:hint="eastAsia" w:ascii="仿宋_GB2312" w:hAnsi="仿宋_GB2312" w:cs="仿宋_GB2312"/>
          <w:kern w:val="2"/>
          <w:sz w:val="32"/>
          <w:szCs w:val="24"/>
          <w:lang w:val="en-US" w:eastAsia="zh-CN" w:bidi="ar-SA"/>
        </w:rPr>
        <w:t>机插秧服务补助：</w:t>
      </w:r>
      <w:r>
        <w:rPr>
          <w:rFonts w:hint="eastAsia"/>
          <w:highlight w:val="none"/>
          <w:lang w:val="en-US" w:eastAsia="zh-CN"/>
        </w:rPr>
        <w:t>补助标准每亩50元，凭服务单位的轨迹或实地核查情况进行补助核实，补助费用直接拨付到服务主体或实施主体，鼓励实施主体采用机插秧机抛秧作业方式，提高插秧密度和作业效率，确保合理密植技术落地。</w:t>
      </w:r>
    </w:p>
    <w:p w14:paraId="32F62A64">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lang w:val="en-US" w:eastAsia="zh-CN"/>
        </w:rPr>
        <w:t>3</w:t>
      </w:r>
      <w:r>
        <w:rPr>
          <w:rFonts w:hint="eastAsia" w:ascii="仿宋_GB2312" w:hAnsi="仿宋_GB2312" w:cs="仿宋_GB2312"/>
          <w:kern w:val="2"/>
          <w:sz w:val="32"/>
          <w:szCs w:val="24"/>
          <w:lang w:val="en-US" w:eastAsia="zh-CN" w:bidi="ar-SA"/>
        </w:rPr>
        <w:t>、</w:t>
      </w:r>
      <w:r>
        <w:rPr>
          <w:rFonts w:hint="eastAsia" w:ascii="仿宋_GB2312" w:hAnsi="仿宋_GB2312" w:eastAsia="仿宋_GB2312" w:cs="仿宋_GB2312"/>
          <w:kern w:val="2"/>
          <w:sz w:val="32"/>
          <w:szCs w:val="24"/>
          <w:lang w:val="en-US" w:eastAsia="zh-CN" w:bidi="ar-SA"/>
        </w:rPr>
        <w:t xml:space="preserve"> </w:t>
      </w:r>
      <w:r>
        <w:rPr>
          <w:rFonts w:hint="eastAsia"/>
          <w:lang w:val="en-US" w:eastAsia="zh-CN"/>
        </w:rPr>
        <w:t>结余资金使用：项目招投标或资金执行过程中如有结余资金，可用于“一喷多促”药物补助、项目标识牌制作、技术指导培训等与项目实施相关的内容。</w:t>
      </w:r>
    </w:p>
    <w:p w14:paraId="6565B53D">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sz w:val="32"/>
          <w:szCs w:val="32"/>
          <w:lang w:val="en-US" w:eastAsia="zh-CN"/>
        </w:rPr>
      </w:pPr>
      <w:r>
        <w:rPr>
          <w:rFonts w:hint="eastAsia"/>
          <w:lang w:val="en-US" w:eastAsia="zh-CN"/>
        </w:rPr>
        <w:t>4、补贴</w:t>
      </w:r>
      <w:r>
        <w:rPr>
          <w:rFonts w:hint="eastAsia" w:ascii="仿宋_GB2312" w:hAnsi="仿宋_GB2312" w:eastAsia="仿宋_GB2312" w:cs="仿宋_GB2312"/>
          <w:sz w:val="32"/>
          <w:szCs w:val="32"/>
          <w:lang w:val="en-US" w:eastAsia="zh-CN"/>
        </w:rPr>
        <w:t>相关要求：</w:t>
      </w:r>
      <w:r>
        <w:rPr>
          <w:rFonts w:hint="eastAsia" w:ascii="仿宋_GB2312" w:hAnsi="仿宋_GB2312" w:cs="仿宋_GB2312"/>
          <w:color w:val="auto"/>
          <w:sz w:val="32"/>
          <w:szCs w:val="32"/>
          <w:highlight w:val="none"/>
          <w:lang w:val="en-US" w:eastAsia="zh-CN"/>
        </w:rPr>
        <w:t>对于</w:t>
      </w:r>
      <w:r>
        <w:rPr>
          <w:rFonts w:hint="eastAsia" w:ascii="仿宋_GB2312" w:hAnsi="仿宋_GB2312" w:eastAsia="仿宋_GB2312" w:cs="仿宋_GB2312"/>
          <w:color w:val="auto"/>
          <w:sz w:val="32"/>
          <w:szCs w:val="32"/>
          <w:highlight w:val="none"/>
          <w:lang w:val="en-US" w:eastAsia="zh-CN"/>
        </w:rPr>
        <w:t>直</w:t>
      </w:r>
      <w:r>
        <w:rPr>
          <w:rFonts w:hint="eastAsia" w:ascii="仿宋_GB2312" w:hAnsi="仿宋_GB2312" w:cs="仿宋_GB2312"/>
          <w:color w:val="auto"/>
          <w:sz w:val="32"/>
          <w:szCs w:val="32"/>
          <w:highlight w:val="none"/>
          <w:lang w:val="en-US" w:eastAsia="zh-CN"/>
        </w:rPr>
        <w:t>播</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cs="仿宋_GB2312"/>
          <w:color w:val="auto"/>
          <w:sz w:val="32"/>
          <w:szCs w:val="32"/>
          <w:highlight w:val="none"/>
          <w:lang w:val="en-US" w:eastAsia="zh-CN"/>
        </w:rPr>
        <w:t>种植</w:t>
      </w:r>
      <w:r>
        <w:rPr>
          <w:rFonts w:hint="eastAsia" w:ascii="仿宋_GB2312" w:hAnsi="仿宋_GB2312" w:eastAsia="仿宋_GB2312" w:cs="仿宋_GB2312"/>
          <w:color w:val="auto"/>
          <w:sz w:val="32"/>
          <w:szCs w:val="32"/>
          <w:highlight w:val="none"/>
          <w:lang w:val="en-US" w:eastAsia="zh-CN"/>
        </w:rPr>
        <w:t>主体不</w:t>
      </w:r>
      <w:r>
        <w:rPr>
          <w:rFonts w:hint="eastAsia" w:ascii="仿宋_GB2312" w:hAnsi="仿宋_GB2312" w:cs="仿宋_GB2312"/>
          <w:color w:val="auto"/>
          <w:sz w:val="32"/>
          <w:szCs w:val="32"/>
          <w:highlight w:val="none"/>
          <w:lang w:val="en-US" w:eastAsia="zh-CN"/>
        </w:rPr>
        <w:t>给</w:t>
      </w:r>
      <w:r>
        <w:rPr>
          <w:rFonts w:hint="eastAsia" w:ascii="仿宋_GB2312" w:hAnsi="仿宋_GB2312" w:eastAsia="仿宋_GB2312" w:cs="仿宋_GB2312"/>
          <w:color w:val="auto"/>
          <w:sz w:val="32"/>
          <w:szCs w:val="32"/>
          <w:highlight w:val="none"/>
          <w:lang w:val="en-US" w:eastAsia="zh-CN"/>
        </w:rPr>
        <w:t>予参与项目建设</w:t>
      </w:r>
      <w:r>
        <w:rPr>
          <w:rFonts w:hint="eastAsia" w:ascii="仿宋_GB2312" w:hAnsi="仿宋_GB2312" w:cs="仿宋_GB2312"/>
          <w:color w:val="auto"/>
          <w:sz w:val="32"/>
          <w:szCs w:val="32"/>
          <w:highlight w:val="none"/>
          <w:lang w:val="en-US" w:eastAsia="zh-CN"/>
        </w:rPr>
        <w:t>；对于未采用机插秧的</w:t>
      </w:r>
      <w:r>
        <w:rPr>
          <w:rFonts w:hint="eastAsia" w:ascii="仿宋_GB2312" w:hAnsi="仿宋_GB2312" w:eastAsia="仿宋_GB2312" w:cs="仿宋_GB2312"/>
          <w:color w:val="auto"/>
          <w:sz w:val="32"/>
          <w:szCs w:val="32"/>
          <w:highlight w:val="none"/>
          <w:lang w:val="en-US" w:eastAsia="zh-CN"/>
        </w:rPr>
        <w:t>抛秧作业主体在确保</w:t>
      </w:r>
      <w:r>
        <w:rPr>
          <w:rFonts w:hint="eastAsia" w:ascii="仿宋_GB2312" w:hAnsi="仿宋_GB2312" w:cs="仿宋_GB2312"/>
          <w:color w:val="auto"/>
          <w:sz w:val="32"/>
          <w:szCs w:val="32"/>
          <w:highlight w:val="none"/>
          <w:lang w:val="en-US" w:eastAsia="zh-CN"/>
        </w:rPr>
        <w:t>种植密度比当地提高15%的情况下给予参与项目建设，但不予享受机插秧服务补贴；对于采用机插秧的作业主体予以参与项目建设，享受种子和机插秧服务补贴。</w:t>
      </w:r>
    </w:p>
    <w:p w14:paraId="335B45AF">
      <w:pPr>
        <w:keepNext w:val="0"/>
        <w:keepLines w:val="0"/>
        <w:pageBreakBefore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（五）物化补助实施：</w:t>
      </w:r>
      <w:r>
        <w:rPr>
          <w:rFonts w:hint="eastAsia" w:ascii="仿宋_GB2312" w:hAnsi="仿宋_GB2312" w:eastAsia="仿宋_GB2312" w:cs="仿宋_GB2312"/>
          <w:b w:val="0"/>
          <w:bCs w:val="0"/>
          <w:sz w:val="32"/>
          <w:szCs w:val="32"/>
          <w:lang w:val="en-US" w:eastAsia="zh-CN"/>
        </w:rPr>
        <w:t>物化补助分为种子物化补助和一喷多促药物补助。种子物化补助采取通过由招标代理机构进行招标确定服务第三方实施单位，由第三方实施单位配送种子补助到参与项目种植主体；机插秧服务补助为机插秧服务第三方提供服务佐证材料，经市农业农村局审核核准后直接补助第三方，或种植实施主体自我机插的，由实施主体提供种植影像区域图和插秧佐证，经审核核准后直接支付种植主体。</w:t>
      </w:r>
    </w:p>
    <w:p w14:paraId="2464AF0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（六）树立项目标识牌</w:t>
      </w:r>
    </w:p>
    <w:p w14:paraId="4B7EE59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在集中连片的水稻合理密植田块建设示范地，树立项目标识牌，以加强宣传，打造区域性技术推广样板，充分发挥辐射带动作用。</w:t>
      </w:r>
    </w:p>
    <w:p w14:paraId="662DFE4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（七）加强技术指导培训</w:t>
      </w:r>
    </w:p>
    <w:p w14:paraId="298E9E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织开展水稻合理密植项目技术培训，依托农业科技服务“轻骑兵”行动，持续开展技术指导培训工作，编制《陆丰市水稻合理密植提单产项目大田栽培管理技术指引》，重点推广机插秧合理密植技术，优化大田栽培管理。</w:t>
      </w:r>
    </w:p>
    <w:p w14:paraId="633DA4C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四、绩效目标</w:t>
      </w:r>
    </w:p>
    <w:p w14:paraId="7483EC42">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（一）水稻种植面积：</w:t>
      </w:r>
      <w:r>
        <w:rPr>
          <w:rFonts w:hint="eastAsia" w:ascii="仿宋_GB2312" w:hAnsi="仿宋_GB2312" w:eastAsia="仿宋_GB2312" w:cs="仿宋_GB2312"/>
          <w:sz w:val="32"/>
          <w:szCs w:val="32"/>
          <w:lang w:val="en-US" w:eastAsia="zh-CN"/>
        </w:rPr>
        <w:t>计划实施水稻合理密植面积1.72万亩，其中早稻1万亩，晚稻0.72万亩。但在特殊条件下（早稻面积不足10000亩且晚稻面积超过7200亩，且总面积达到17200亩），种植面积计划允许一定早晚造面积间互补，以适应不同的种植情况和需求。</w:t>
      </w:r>
    </w:p>
    <w:p w14:paraId="22EA6B52">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（二）水稻种植密度：</w:t>
      </w:r>
      <w:r>
        <w:rPr>
          <w:rFonts w:hint="eastAsia" w:ascii="仿宋_GB2312" w:hAnsi="仿宋_GB2312" w:eastAsia="仿宋_GB2312" w:cs="仿宋_GB2312"/>
          <w:color w:val="auto"/>
          <w:sz w:val="32"/>
          <w:szCs w:val="32"/>
          <w:highlight w:val="none"/>
          <w:lang w:val="en-US" w:eastAsia="zh-CN"/>
        </w:rPr>
        <w:t>实施区域内早、晚稻栽插平均</w:t>
      </w:r>
      <w:r>
        <w:rPr>
          <w:rFonts w:hint="eastAsia" w:ascii="仿宋_GB2312" w:hAnsi="仿宋_GB2312" w:eastAsia="仿宋_GB2312" w:cs="仿宋_GB2312"/>
          <w:b w:val="0"/>
          <w:bCs w:val="0"/>
          <w:color w:val="auto"/>
          <w:sz w:val="32"/>
          <w:szCs w:val="32"/>
          <w:highlight w:val="none"/>
          <w:lang w:val="en-US" w:eastAsia="zh-CN"/>
        </w:rPr>
        <w:t>密度比当地平均水平高15%以上；</w:t>
      </w:r>
      <w:r>
        <w:rPr>
          <w:rFonts w:hint="eastAsia" w:ascii="仿宋_GB2312" w:hAnsi="仿宋_GB2312" w:eastAsia="仿宋_GB2312" w:cs="仿宋_GB2312"/>
          <w:color w:val="auto"/>
          <w:sz w:val="32"/>
          <w:szCs w:val="32"/>
          <w:highlight w:val="none"/>
          <w:lang w:val="en-US" w:eastAsia="zh-CN"/>
        </w:rPr>
        <w:t>实施项目区域内早、晚稻单产提升10%。推行的种植密度要求项目实施区域拟采取30*20（行距*株距），杂交优质品种每穴3-4条苗，常规优质稻每穴5-6条苗。</w:t>
      </w:r>
    </w:p>
    <w:p w14:paraId="1FB0EB74">
      <w:pPr>
        <w:pStyle w:val="2"/>
        <w:ind w:left="0" w:leftChars="0" w:firstLine="640" w:firstLineChars="200"/>
        <w:rPr>
          <w:rFonts w:hint="default"/>
          <w:lang w:val="en-US" w:eastAsia="zh-CN"/>
        </w:rPr>
      </w:pPr>
      <w:r>
        <w:rPr>
          <w:rFonts w:hint="eastAsia" w:ascii="楷体_GB2312" w:hAnsi="楷体_GB2312" w:eastAsia="楷体_GB2312" w:cs="楷体_GB2312"/>
          <w:color w:val="auto"/>
          <w:sz w:val="32"/>
          <w:szCs w:val="32"/>
          <w:highlight w:val="none"/>
          <w:lang w:val="en-US" w:eastAsia="zh-CN"/>
        </w:rPr>
        <w:t>（三）不可抗力因素：</w:t>
      </w:r>
      <w:r>
        <w:rPr>
          <w:rFonts w:hint="eastAsia" w:ascii="仿宋_GB2312" w:hAnsi="仿宋_GB2312" w:cs="仿宋_GB2312"/>
          <w:color w:val="auto"/>
          <w:sz w:val="32"/>
          <w:szCs w:val="32"/>
          <w:highlight w:val="none"/>
          <w:lang w:val="en-US" w:eastAsia="zh-CN"/>
        </w:rPr>
        <w:t>如受到我市农田水利基础设施、台风、洪涝、寒露风等不可抗因素的影响，导致单产提升不理想，甚至减产的情况，经核实后可予以酌情况降低绩效目标，视为实施完成通过。</w:t>
      </w:r>
    </w:p>
    <w:p w14:paraId="38BCFCE1">
      <w:pPr>
        <w:pageBreakBefore w:val="0"/>
        <w:wordWrap/>
        <w:overflowPunct/>
        <w:topLinePunct w:val="0"/>
        <w:bidi w:val="0"/>
        <w:spacing w:line="600" w:lineRule="exact"/>
        <w:ind w:left="0" w:leftChars="0" w:right="0" w:firstLine="640" w:firstLineChars="200"/>
        <w:rPr>
          <w:rFonts w:ascii="黑体" w:hAnsi="黑体" w:eastAsia="黑体" w:cs="黑体"/>
          <w:sz w:val="31"/>
          <w:szCs w:val="31"/>
        </w:rPr>
      </w:pPr>
      <w:r>
        <w:rPr>
          <w:rFonts w:hint="eastAsia" w:ascii="黑体" w:hAnsi="黑体" w:eastAsia="黑体" w:cs="黑体"/>
          <w:b w:val="0"/>
          <w:bCs w:val="0"/>
          <w:sz w:val="32"/>
          <w:szCs w:val="32"/>
          <w:lang w:val="en-US" w:eastAsia="zh-CN"/>
        </w:rPr>
        <w:t>五、</w:t>
      </w:r>
      <w:r>
        <w:rPr>
          <w:rFonts w:ascii="黑体" w:hAnsi="黑体" w:eastAsia="黑体" w:cs="黑体"/>
          <w:spacing w:val="7"/>
          <w:sz w:val="31"/>
          <w:szCs w:val="31"/>
        </w:rPr>
        <w:t>资金使用计划</w:t>
      </w:r>
    </w:p>
    <w:p w14:paraId="2BCB72E5">
      <w:pPr>
        <w:keepNext w:val="0"/>
        <w:keepLines w:val="0"/>
        <w:pageBreakBefore w:val="0"/>
        <w:widowControl w:val="0"/>
        <w:tabs>
          <w:tab w:val="left" w:pos="1425"/>
        </w:tabs>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项目财政补助资金</w:t>
      </w:r>
      <w:r>
        <w:rPr>
          <w:rFonts w:hint="eastAsia" w:ascii="仿宋_GB2312" w:hAnsi="仿宋_GB2312" w:eastAsia="仿宋_GB2312" w:cs="仿宋_GB2312"/>
          <w:i w:val="0"/>
          <w:iCs w:val="0"/>
          <w:caps w:val="0"/>
          <w:color w:val="auto"/>
          <w:spacing w:val="0"/>
          <w:sz w:val="32"/>
          <w:szCs w:val="32"/>
          <w:shd w:val="clear" w:color="auto" w:fill="FFFFFF"/>
          <w:lang w:val="en-US" w:eastAsia="zh-CN"/>
        </w:rPr>
        <w:t>258</w:t>
      </w:r>
      <w:r>
        <w:rPr>
          <w:rFonts w:hint="eastAsia" w:ascii="仿宋_GB2312" w:hAnsi="仿宋_GB2312" w:eastAsia="仿宋_GB2312" w:cs="仿宋_GB2312"/>
          <w:i w:val="0"/>
          <w:iCs w:val="0"/>
          <w:caps w:val="0"/>
          <w:color w:val="auto"/>
          <w:spacing w:val="0"/>
          <w:sz w:val="32"/>
          <w:szCs w:val="32"/>
          <w:shd w:val="clear" w:color="auto" w:fill="FFFFFF"/>
          <w:lang w:eastAsia="zh-CN"/>
        </w:rPr>
        <w:t>万元，</w:t>
      </w:r>
      <w:r>
        <w:rPr>
          <w:rFonts w:hint="eastAsia" w:ascii="仿宋_GB2312" w:hAnsi="仿宋_GB2312" w:eastAsia="仿宋_GB2312" w:cs="仿宋_GB2312"/>
          <w:i w:val="0"/>
          <w:iCs w:val="0"/>
          <w:caps w:val="0"/>
          <w:color w:val="auto"/>
          <w:spacing w:val="0"/>
          <w:sz w:val="32"/>
          <w:szCs w:val="32"/>
          <w:shd w:val="clear" w:color="auto" w:fill="FFFFFF"/>
          <w:lang w:val="en-US" w:eastAsia="zh-CN"/>
        </w:rPr>
        <w:t>根据</w:t>
      </w:r>
      <w:r>
        <w:rPr>
          <w:rFonts w:hint="eastAsia" w:ascii="仿宋_GB2312" w:hAnsi="仿宋_GB2312" w:eastAsia="仿宋_GB2312" w:cs="仿宋_GB2312"/>
          <w:spacing w:val="0"/>
          <w:w w:val="100"/>
          <w:position w:val="0"/>
          <w:sz w:val="32"/>
          <w:szCs w:val="32"/>
          <w:lang w:eastAsia="zh-CN"/>
        </w:rPr>
        <w:t>广东省农业农村厅《关于印发2026年乡村振兴战略专项省级项目（第二批）入库申报指南的通知》</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i w:val="0"/>
          <w:iCs w:val="0"/>
          <w:caps w:val="0"/>
          <w:color w:val="auto"/>
          <w:spacing w:val="0"/>
          <w:sz w:val="32"/>
          <w:szCs w:val="32"/>
          <w:shd w:val="clear" w:color="auto" w:fill="FFFFFF"/>
          <w:lang w:eastAsia="zh-CN"/>
        </w:rPr>
        <w:t>结合我市实际，</w:t>
      </w:r>
      <w:r>
        <w:rPr>
          <w:rFonts w:hint="eastAsia" w:ascii="仿宋_GB2312" w:hAnsi="仿宋_GB2312" w:eastAsia="仿宋_GB2312" w:cs="仿宋_GB2312"/>
          <w:sz w:val="32"/>
          <w:szCs w:val="32"/>
          <w:lang w:val="en-US" w:eastAsia="zh-CN"/>
        </w:rPr>
        <w:t>对实施区域内推广水稻合理密植技术的实施主体予以每亩150元补助，拟分为种子物化补助和机插秧作业资金补贴两部分实施。</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14:paraId="2BCEA229">
      <w:pPr>
        <w:keepNext w:val="0"/>
        <w:keepLines w:val="0"/>
        <w:pageBreakBefore w:val="0"/>
        <w:widowControl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（一）种子物化补助：</w:t>
      </w:r>
      <w:r>
        <w:rPr>
          <w:rFonts w:hint="eastAsia" w:ascii="仿宋_GB2312" w:hAnsi="仿宋_GB2312" w:eastAsia="仿宋_GB2312" w:cs="仿宋_GB2312"/>
          <w:sz w:val="32"/>
          <w:szCs w:val="32"/>
          <w:highlight w:val="none"/>
          <w:lang w:val="en-US" w:eastAsia="zh-CN"/>
        </w:rPr>
        <w:t>种子补贴拟以早</w:t>
      </w:r>
      <w:r>
        <w:rPr>
          <w:rFonts w:hint="eastAsia" w:ascii="仿宋_GB2312" w:hAnsi="仿宋_GB2312" w:eastAsia="仿宋_GB2312" w:cs="仿宋_GB2312"/>
          <w:sz w:val="32"/>
          <w:szCs w:val="32"/>
          <w:lang w:val="en-US" w:eastAsia="zh-CN"/>
        </w:rPr>
        <w:t>稻每亩杂交优质稻1.25公斤、常规优质稻2.5公斤进行补贴，晚稻每亩杂交优质稻1.25公斤、常规优质稻2.5公斤，由市农业农村局统一采购后分发到各实施主体，登记造册。种子初步市场调查补贴金额预计每亩为98元，共计168.56万元。</w:t>
      </w:r>
    </w:p>
    <w:p w14:paraId="5F2F61BA">
      <w:pPr>
        <w:pageBreakBefore w:val="0"/>
        <w:numPr>
          <w:ilvl w:val="0"/>
          <w:numId w:val="0"/>
        </w:numPr>
        <w:wordWrap/>
        <w:overflowPunct/>
        <w:topLinePunct w:val="0"/>
        <w:bidi w:val="0"/>
        <w:spacing w:line="600" w:lineRule="exact"/>
        <w:ind w:left="0" w:leftChars="0" w:right="0"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val="en-US" w:eastAsia="zh-CN"/>
        </w:rPr>
        <w:t>机插秧作业资金补贴：机插秧作业补贴拟以资金补贴方式发放，主要用于鼓励实施主体采用机插秧作业方式，提高插秧密度和作业效率，确保合理密植技术落地。机插秧作业补贴金额预计每亩为50元，共计86万元。</w:t>
      </w:r>
    </w:p>
    <w:p w14:paraId="5E4F056B">
      <w:pPr>
        <w:pStyle w:val="4"/>
        <w:keepNext/>
        <w:keepLines/>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Style w:val="12"/>
          <w:rFonts w:ascii="仿宋_GB2312" w:hAnsi="仿宋_GB2312" w:eastAsia="仿宋_GB2312" w:cs="仿宋_GB2312"/>
          <w:bCs/>
          <w:kern w:val="0"/>
          <w:sz w:val="24"/>
        </w:rPr>
      </w:pPr>
      <w:r>
        <w:rPr>
          <w:rFonts w:hint="eastAsia" w:ascii="仿宋_GB2312" w:hAnsi="仿宋_GB2312" w:eastAsia="仿宋_GB2312" w:cs="仿宋_GB2312"/>
          <w:b w:val="0"/>
          <w:bCs w:val="0"/>
          <w:sz w:val="32"/>
          <w:szCs w:val="32"/>
        </w:rPr>
        <w:t>具体项目资金投入安排如下表：</w:t>
      </w:r>
    </w:p>
    <w:p w14:paraId="27E9F355">
      <w:pPr>
        <w:pageBreakBefore w:val="0"/>
        <w:wordWrap/>
        <w:overflowPunct/>
        <w:topLinePunct w:val="0"/>
        <w:bidi w:val="0"/>
        <w:snapToGrid w:val="0"/>
        <w:spacing w:line="600" w:lineRule="exact"/>
        <w:ind w:left="0" w:leftChars="0" w:right="0" w:firstLine="480" w:firstLineChars="200"/>
        <w:jc w:val="center"/>
        <w:rPr>
          <w:rStyle w:val="11"/>
          <w:rFonts w:ascii="仿宋_GB2312" w:hAnsi="仿宋_GB2312" w:eastAsia="仿宋_GB2312"/>
          <w:sz w:val="24"/>
        </w:rPr>
      </w:pPr>
      <w:r>
        <w:rPr>
          <w:rStyle w:val="12"/>
          <w:rFonts w:ascii="仿宋_GB2312" w:hAnsi="仿宋_GB2312" w:eastAsia="仿宋_GB2312" w:cs="仿宋_GB2312"/>
          <w:bCs/>
          <w:kern w:val="0"/>
          <w:sz w:val="24"/>
        </w:rPr>
        <w:t>项目名称：</w:t>
      </w:r>
      <w:r>
        <w:rPr>
          <w:rStyle w:val="11"/>
          <w:rFonts w:hint="eastAsia" w:ascii="仿宋_GB2312" w:hAnsi="仿宋_GB2312" w:eastAsia="仿宋_GB2312"/>
          <w:sz w:val="24"/>
        </w:rPr>
        <w:t>20</w:t>
      </w:r>
      <w:r>
        <w:rPr>
          <w:rStyle w:val="11"/>
          <w:rFonts w:hint="eastAsia" w:ascii="仿宋_GB2312" w:hAnsi="仿宋_GB2312" w:eastAsia="仿宋_GB2312"/>
          <w:sz w:val="24"/>
          <w:lang w:val="en-US" w:eastAsia="zh-CN"/>
        </w:rPr>
        <w:t>26</w:t>
      </w:r>
      <w:r>
        <w:rPr>
          <w:rStyle w:val="11"/>
          <w:rFonts w:hint="eastAsia" w:ascii="仿宋_GB2312" w:hAnsi="仿宋_GB2312" w:eastAsia="仿宋_GB2312"/>
          <w:sz w:val="24"/>
        </w:rPr>
        <w:t>年</w:t>
      </w:r>
      <w:r>
        <w:rPr>
          <w:rStyle w:val="11"/>
          <w:rFonts w:hint="eastAsia" w:ascii="仿宋_GB2312" w:hAnsi="仿宋_GB2312" w:eastAsia="仿宋_GB2312"/>
          <w:sz w:val="24"/>
          <w:lang w:eastAsia="zh-CN"/>
        </w:rPr>
        <w:t>陆丰市水稻合理密植提单产</w:t>
      </w:r>
      <w:r>
        <w:rPr>
          <w:rStyle w:val="11"/>
          <w:rFonts w:hint="eastAsia" w:ascii="仿宋_GB2312" w:hAnsi="仿宋_GB2312" w:eastAsia="仿宋_GB2312"/>
          <w:sz w:val="24"/>
        </w:rPr>
        <w:t>项目</w:t>
      </w:r>
    </w:p>
    <w:tbl>
      <w:tblPr>
        <w:tblStyle w:val="8"/>
        <w:tblW w:w="9862" w:type="dxa"/>
        <w:jc w:val="center"/>
        <w:tblLayout w:type="fixed"/>
        <w:tblCellMar>
          <w:top w:w="0" w:type="dxa"/>
          <w:left w:w="108" w:type="dxa"/>
          <w:bottom w:w="0" w:type="dxa"/>
          <w:right w:w="108" w:type="dxa"/>
        </w:tblCellMar>
      </w:tblPr>
      <w:tblGrid>
        <w:gridCol w:w="712"/>
        <w:gridCol w:w="2297"/>
        <w:gridCol w:w="2347"/>
        <w:gridCol w:w="1410"/>
        <w:gridCol w:w="1560"/>
        <w:gridCol w:w="1536"/>
      </w:tblGrid>
      <w:tr w14:paraId="5FC0A017">
        <w:tblPrEx>
          <w:tblCellMar>
            <w:top w:w="0" w:type="dxa"/>
            <w:left w:w="108" w:type="dxa"/>
            <w:bottom w:w="0" w:type="dxa"/>
            <w:right w:w="108" w:type="dxa"/>
          </w:tblCellMar>
        </w:tblPrEx>
        <w:trPr>
          <w:trHeight w:val="71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33C51592">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353A317B">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663" w:firstLineChars="30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项目</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7F98DA9B">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663" w:firstLineChars="30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建设内容</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851D05F">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21" w:firstLineChars="100"/>
              <w:jc w:val="both"/>
              <w:textAlignment w:val="center"/>
              <w:rPr>
                <w:rFonts w:hint="eastAsia" w:ascii="仿宋_GB2312" w:hAnsi="仿宋_GB2312" w:eastAsia="仿宋_GB2312" w:cs="仿宋_GB2312"/>
                <w:b/>
                <w:bCs/>
                <w:i w:val="0"/>
                <w:iCs w:val="0"/>
                <w:snapToGrid w:val="0"/>
                <w:color w:val="000000"/>
                <w:kern w:val="0"/>
                <w:sz w:val="22"/>
                <w:szCs w:val="22"/>
                <w:u w:val="none"/>
                <w:lang w:val="en-US" w:eastAsia="zh-CN" w:bidi="ar"/>
              </w:rPr>
            </w:pPr>
            <w:r>
              <w:rPr>
                <w:rFonts w:hint="eastAsia" w:ascii="仿宋_GB2312" w:hAnsi="仿宋_GB2312" w:eastAsia="仿宋_GB2312" w:cs="仿宋_GB2312"/>
                <w:b/>
                <w:bCs/>
                <w:i w:val="0"/>
                <w:iCs w:val="0"/>
                <w:snapToGrid w:val="0"/>
                <w:color w:val="000000"/>
                <w:kern w:val="0"/>
                <w:sz w:val="22"/>
                <w:szCs w:val="22"/>
                <w:u w:val="none"/>
                <w:lang w:val="en-US" w:eastAsia="zh-CN" w:bidi="ar"/>
              </w:rPr>
              <w:t>总投资</w:t>
            </w:r>
          </w:p>
          <w:p w14:paraId="0B7A4CCA">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21" w:firstLineChars="100"/>
              <w:jc w:val="both"/>
              <w:textAlignment w:val="center"/>
              <w:rPr>
                <w:rFonts w:hint="default" w:ascii="宋体" w:hAnsi="宋体" w:eastAsia="宋体" w:cs="宋体"/>
                <w:b/>
                <w:bCs/>
                <w:i w:val="0"/>
                <w:iCs w:val="0"/>
                <w:color w:val="000000"/>
                <w:sz w:val="22"/>
                <w:szCs w:val="22"/>
                <w:u w:val="none"/>
                <w:lang w:val="en-US"/>
              </w:rPr>
            </w:pPr>
            <w:r>
              <w:rPr>
                <w:rFonts w:hint="eastAsia" w:ascii="仿宋_GB2312" w:hAnsi="仿宋_GB2312" w:eastAsia="仿宋_GB2312" w:cs="仿宋_GB2312"/>
                <w:b/>
                <w:bCs/>
                <w:i w:val="0"/>
                <w:iCs w:val="0"/>
                <w:snapToGrid w:val="0"/>
                <w:color w:val="000000"/>
                <w:kern w:val="0"/>
                <w:sz w:val="22"/>
                <w:szCs w:val="22"/>
                <w:u w:val="none"/>
                <w:lang w:val="en-US" w:eastAsia="zh-CN" w:bidi="ar"/>
              </w:rPr>
              <w:t>（万元）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D0272D">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442" w:firstLineChars="200"/>
              <w:jc w:val="both"/>
              <w:textAlignment w:val="center"/>
              <w:rPr>
                <w:rFonts w:hint="default" w:ascii="宋体" w:hAnsi="宋体" w:eastAsia="宋体" w:cs="宋体"/>
                <w:b/>
                <w:bCs/>
                <w:i w:val="0"/>
                <w:iCs w:val="0"/>
                <w:color w:val="000000"/>
                <w:sz w:val="22"/>
                <w:szCs w:val="22"/>
                <w:u w:val="none"/>
                <w:lang w:val="en-US"/>
              </w:rPr>
            </w:pPr>
            <w:r>
              <w:rPr>
                <w:rFonts w:hint="eastAsia" w:ascii="仿宋_GB2312" w:hAnsi="仿宋_GB2312" w:eastAsia="仿宋_GB2312" w:cs="仿宋_GB2312"/>
                <w:b/>
                <w:bCs/>
                <w:i w:val="0"/>
                <w:iCs w:val="0"/>
                <w:snapToGrid w:val="0"/>
                <w:color w:val="000000"/>
                <w:kern w:val="0"/>
                <w:sz w:val="22"/>
                <w:szCs w:val="22"/>
                <w:u w:val="none"/>
                <w:lang w:val="en-US" w:eastAsia="zh-CN" w:bidi="ar"/>
              </w:rPr>
              <w:t>占比%</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74B23845">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Fonts w:hint="eastAsia" w:ascii="仿宋_GB2312" w:hAnsi="仿宋_GB2312" w:eastAsia="仿宋_GB2312" w:cs="仿宋_GB2312"/>
                <w:b/>
                <w:bCs/>
                <w:i w:val="0"/>
                <w:iCs w:val="0"/>
                <w:snapToGrid w:val="0"/>
                <w:color w:val="000000"/>
                <w:kern w:val="0"/>
                <w:sz w:val="22"/>
                <w:szCs w:val="22"/>
                <w:u w:val="none"/>
                <w:lang w:val="en-US" w:eastAsia="zh-CN" w:bidi="ar"/>
              </w:rPr>
            </w:pPr>
            <w:r>
              <w:rPr>
                <w:rFonts w:hint="eastAsia" w:ascii="仿宋_GB2312" w:hAnsi="仿宋_GB2312" w:eastAsia="仿宋_GB2312" w:cs="仿宋_GB2312"/>
                <w:b/>
                <w:bCs/>
                <w:i w:val="0"/>
                <w:iCs w:val="0"/>
                <w:snapToGrid w:val="0"/>
                <w:color w:val="000000"/>
                <w:kern w:val="0"/>
                <w:sz w:val="22"/>
                <w:szCs w:val="22"/>
                <w:u w:val="none"/>
                <w:lang w:val="en-US" w:eastAsia="zh-CN" w:bidi="ar"/>
              </w:rPr>
              <w:t>采购实施</w:t>
            </w:r>
          </w:p>
          <w:p w14:paraId="6373B708">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主体</w:t>
            </w:r>
          </w:p>
        </w:tc>
      </w:tr>
      <w:tr w14:paraId="12771EE0">
        <w:tblPrEx>
          <w:tblCellMar>
            <w:top w:w="0" w:type="dxa"/>
            <w:left w:w="108" w:type="dxa"/>
            <w:bottom w:w="0" w:type="dxa"/>
            <w:right w:w="108" w:type="dxa"/>
          </w:tblCellMar>
        </w:tblPrEx>
        <w:trPr>
          <w:trHeight w:val="628"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246E24EB">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1</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11EEB49E">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Fonts w:hint="eastAsia" w:ascii="仿宋_GB2312" w:hAnsi="仿宋_GB2312" w:eastAsia="仿宋_GB2312" w:cs="仿宋_GB2312"/>
                <w:b w:val="0"/>
                <w:bCs w:val="0"/>
                <w:color w:val="000000"/>
                <w:kern w:val="0"/>
                <w:sz w:val="24"/>
                <w:szCs w:val="24"/>
                <w:lang w:val="en-US" w:eastAsia="zh-CN" w:bidi="ar-SA"/>
              </w:rPr>
            </w:pPr>
            <w:r>
              <w:rPr>
                <w:rStyle w:val="11"/>
                <w:rFonts w:hint="eastAsia" w:ascii="仿宋_GB2312" w:hAnsi="仿宋_GB2312" w:eastAsia="仿宋_GB2312"/>
                <w:sz w:val="24"/>
                <w:lang w:val="en-US" w:eastAsia="zh-CN"/>
              </w:rPr>
              <w:t>2026年陆丰市水稻</w:t>
            </w:r>
            <w:r>
              <w:rPr>
                <w:rStyle w:val="11"/>
                <w:rFonts w:hint="eastAsia" w:ascii="仿宋_GB2312" w:hAnsi="仿宋_GB2312" w:eastAsia="仿宋_GB2312"/>
                <w:sz w:val="24"/>
                <w:lang w:eastAsia="zh-CN"/>
              </w:rPr>
              <w:t>合理密植提单产项目早造优质种子采购</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3CBEDDCC">
            <w:pPr>
              <w:keepNext w:val="0"/>
              <w:keepLines w:val="0"/>
              <w:pageBreakBefore w:val="0"/>
              <w:kinsoku/>
              <w:wordWrap/>
              <w:overflowPunct/>
              <w:topLinePunct w:val="0"/>
              <w:autoSpaceDE/>
              <w:autoSpaceDN/>
              <w:bidi w:val="0"/>
              <w:adjustRightInd/>
              <w:snapToGrid/>
              <w:spacing w:line="240" w:lineRule="atLeast"/>
              <w:ind w:right="0"/>
              <w:jc w:val="both"/>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采购早造10000亩优质种子（杂交稻1.25公斤/亩，常规稻2.5公斤/亩）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70D0ED61">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98</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00C4F034">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38%</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295668C">
            <w:pPr>
              <w:keepNext w:val="0"/>
              <w:keepLines w:val="0"/>
              <w:pageBreakBefore w:val="0"/>
              <w:kinsoku/>
              <w:wordWrap/>
              <w:overflowPunct/>
              <w:topLinePunct w:val="0"/>
              <w:autoSpaceDE/>
              <w:autoSpaceDN/>
              <w:bidi w:val="0"/>
              <w:adjustRightInd/>
              <w:snapToGrid/>
              <w:spacing w:line="240" w:lineRule="atLeast"/>
              <w:ind w:right="0"/>
              <w:jc w:val="both"/>
              <w:rPr>
                <w:rFonts w:hint="default"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SA"/>
              </w:rPr>
              <w:t>陆丰市农业农村局</w:t>
            </w:r>
          </w:p>
        </w:tc>
      </w:tr>
      <w:tr w14:paraId="11324335">
        <w:tblPrEx>
          <w:tblCellMar>
            <w:top w:w="0" w:type="dxa"/>
            <w:left w:w="108" w:type="dxa"/>
            <w:bottom w:w="0" w:type="dxa"/>
            <w:right w:w="108" w:type="dxa"/>
          </w:tblCellMar>
        </w:tblPrEx>
        <w:trPr>
          <w:trHeight w:val="628"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6C039915">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2</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1D12FDEA">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Style w:val="11"/>
                <w:rFonts w:hint="eastAsia" w:ascii="仿宋_GB2312" w:hAnsi="仿宋_GB2312" w:eastAsia="仿宋_GB2312"/>
                <w:sz w:val="24"/>
                <w:lang w:eastAsia="zh-CN"/>
              </w:rPr>
            </w:pPr>
            <w:r>
              <w:rPr>
                <w:rStyle w:val="11"/>
                <w:rFonts w:hint="eastAsia" w:ascii="仿宋_GB2312" w:hAnsi="仿宋_GB2312" w:eastAsia="仿宋_GB2312"/>
                <w:sz w:val="24"/>
                <w:lang w:val="en-US" w:eastAsia="zh-CN"/>
              </w:rPr>
              <w:t>2026年陆丰市水稻</w:t>
            </w:r>
            <w:r>
              <w:rPr>
                <w:rStyle w:val="11"/>
                <w:rFonts w:hint="eastAsia" w:ascii="仿宋_GB2312" w:hAnsi="仿宋_GB2312" w:eastAsia="仿宋_GB2312"/>
                <w:sz w:val="24"/>
                <w:lang w:eastAsia="zh-CN"/>
              </w:rPr>
              <w:t>合理密植提单产项目晚造优质种子采购</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3EF84CB4">
            <w:pPr>
              <w:keepNext w:val="0"/>
              <w:keepLines w:val="0"/>
              <w:pageBreakBefore w:val="0"/>
              <w:kinsoku/>
              <w:wordWrap/>
              <w:overflowPunct/>
              <w:topLinePunct w:val="0"/>
              <w:autoSpaceDE/>
              <w:autoSpaceDN/>
              <w:bidi w:val="0"/>
              <w:adjustRightInd/>
              <w:snapToGrid/>
              <w:spacing w:line="240" w:lineRule="atLeast"/>
              <w:ind w:right="0"/>
              <w:jc w:val="both"/>
              <w:rPr>
                <w:rFonts w:hint="eastAsia" w:ascii="仿宋_GB2312" w:hAnsi="仿宋_GB2312" w:eastAsia="仿宋_GB2312" w:cs="仿宋_GB2312"/>
                <w:b w:val="0"/>
                <w:bCs w:val="0"/>
                <w:color w:val="000000"/>
                <w:kern w:val="0"/>
                <w:sz w:val="24"/>
                <w:szCs w:val="24"/>
                <w:lang w:val="zh-CN" w:eastAsia="zh-CN" w:bidi="ar-SA"/>
              </w:rPr>
            </w:pPr>
            <w:r>
              <w:rPr>
                <w:rFonts w:hint="eastAsia" w:ascii="仿宋_GB2312" w:hAnsi="仿宋_GB2312" w:eastAsia="仿宋_GB2312" w:cs="仿宋_GB2312"/>
                <w:b w:val="0"/>
                <w:bCs w:val="0"/>
                <w:color w:val="000000"/>
                <w:kern w:val="0"/>
                <w:sz w:val="24"/>
                <w:szCs w:val="24"/>
                <w:lang w:val="en-US" w:eastAsia="zh-CN" w:bidi="ar-SA"/>
              </w:rPr>
              <w:t>采购晚造7200亩优质种子（杂交稻1.25公斤/亩，常规稻2.5公斤/亩）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62BF6E48">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70.56</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0215222">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27.3%</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57982CC">
            <w:pPr>
              <w:keepNext w:val="0"/>
              <w:keepLines w:val="0"/>
              <w:pageBreakBefore w:val="0"/>
              <w:kinsoku/>
              <w:wordWrap/>
              <w:overflowPunct/>
              <w:topLinePunct w:val="0"/>
              <w:autoSpaceDE/>
              <w:autoSpaceDN/>
              <w:bidi w:val="0"/>
              <w:adjustRightInd/>
              <w:snapToGrid/>
              <w:spacing w:line="240" w:lineRule="atLeast"/>
              <w:ind w:right="0"/>
              <w:jc w:val="both"/>
              <w:rPr>
                <w:rFonts w:hint="eastAsia"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SA"/>
              </w:rPr>
              <w:t>陆丰市农业农村局</w:t>
            </w:r>
          </w:p>
        </w:tc>
      </w:tr>
      <w:tr w14:paraId="2B4908A9">
        <w:tblPrEx>
          <w:tblCellMar>
            <w:top w:w="0" w:type="dxa"/>
            <w:left w:w="108" w:type="dxa"/>
            <w:bottom w:w="0" w:type="dxa"/>
            <w:right w:w="108" w:type="dxa"/>
          </w:tblCellMar>
        </w:tblPrEx>
        <w:trPr>
          <w:trHeight w:val="1111"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7F38309B">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3</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27EE852A">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Style w:val="11"/>
                <w:rFonts w:hint="default" w:ascii="仿宋_GB2312" w:hAnsi="仿宋_GB2312" w:eastAsia="仿宋_GB2312"/>
                <w:sz w:val="24"/>
                <w:lang w:val="en-US" w:eastAsia="zh-CN"/>
              </w:rPr>
            </w:pPr>
            <w:r>
              <w:rPr>
                <w:rStyle w:val="11"/>
                <w:rFonts w:hint="eastAsia" w:ascii="仿宋_GB2312" w:hAnsi="仿宋_GB2312" w:eastAsia="仿宋_GB2312"/>
                <w:sz w:val="24"/>
                <w:lang w:val="en-US" w:eastAsia="zh-CN"/>
              </w:rPr>
              <w:t>2026年陆丰市水稻</w:t>
            </w:r>
            <w:r>
              <w:rPr>
                <w:rStyle w:val="11"/>
                <w:rFonts w:hint="eastAsia" w:ascii="仿宋_GB2312" w:hAnsi="仿宋_GB2312" w:eastAsia="仿宋_GB2312"/>
                <w:sz w:val="24"/>
                <w:lang w:eastAsia="zh-CN"/>
              </w:rPr>
              <w:t>合理密植提单产项目</w:t>
            </w:r>
            <w:r>
              <w:rPr>
                <w:rStyle w:val="11"/>
                <w:rFonts w:hint="eastAsia" w:ascii="仿宋_GB2312" w:hAnsi="仿宋_GB2312" w:eastAsia="仿宋_GB2312"/>
                <w:sz w:val="24"/>
                <w:lang w:val="en-US" w:eastAsia="zh-CN"/>
              </w:rPr>
              <w:t>机插秧作业补贴</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55F23921">
            <w:pPr>
              <w:keepNext w:val="0"/>
              <w:keepLines w:val="0"/>
              <w:pageBreakBefore w:val="0"/>
              <w:kinsoku/>
              <w:wordWrap/>
              <w:overflowPunct/>
              <w:topLinePunct w:val="0"/>
              <w:autoSpaceDE/>
              <w:autoSpaceDN/>
              <w:bidi w:val="0"/>
              <w:adjustRightInd/>
              <w:snapToGrid/>
              <w:spacing w:line="240" w:lineRule="atLeast"/>
              <w:ind w:right="0"/>
              <w:jc w:val="both"/>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对1.72万亩实施主体进行机插秧作业购进</w:t>
            </w:r>
            <w:r>
              <w:rPr>
                <w:rFonts w:hint="eastAsia" w:ascii="仿宋_GB2312" w:hAnsi="仿宋_GB2312" w:eastAsia="仿宋_GB2312" w:cs="仿宋_GB2312"/>
                <w:kern w:val="2"/>
                <w:sz w:val="24"/>
                <w:szCs w:val="24"/>
                <w:lang w:val="en-US" w:eastAsia="zh-CN" w:bidi="ar-SA"/>
              </w:rPr>
              <w:t>秧盘、培基肥、插秧抛秧农机装备等予以奖</w:t>
            </w:r>
            <w:r>
              <w:rPr>
                <w:rFonts w:hint="eastAsia"/>
                <w:lang w:val="en-US" w:eastAsia="zh-CN"/>
              </w:rPr>
              <w:t>补</w:t>
            </w:r>
            <w:r>
              <w:rPr>
                <w:rFonts w:hint="eastAsia" w:ascii="仿宋_GB2312" w:hAnsi="仿宋_GB2312" w:eastAsia="仿宋_GB2312" w:cs="仿宋_GB2312"/>
                <w:b w:val="0"/>
                <w:bCs w:val="0"/>
                <w:color w:val="000000"/>
                <w:kern w:val="0"/>
                <w:sz w:val="24"/>
                <w:szCs w:val="24"/>
                <w:lang w:val="en-US" w:eastAsia="zh-CN" w:bidi="ar-SA"/>
              </w:rPr>
              <w:t>（52元/亩）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39D4D36">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86</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DB6FCEF">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33.3%</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232662D">
            <w:pPr>
              <w:keepNext w:val="0"/>
              <w:keepLines w:val="0"/>
              <w:pageBreakBefore w:val="0"/>
              <w:kinsoku/>
              <w:wordWrap/>
              <w:overflowPunct/>
              <w:topLinePunct w:val="0"/>
              <w:autoSpaceDE/>
              <w:autoSpaceDN/>
              <w:bidi w:val="0"/>
              <w:adjustRightInd/>
              <w:snapToGrid/>
              <w:spacing w:line="240" w:lineRule="atLeast"/>
              <w:ind w:right="0"/>
              <w:jc w:val="both"/>
              <w:rPr>
                <w:rFonts w:hint="eastAsia"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SA"/>
              </w:rPr>
              <w:t>陆丰市农业农村局</w:t>
            </w:r>
          </w:p>
        </w:tc>
      </w:tr>
      <w:tr w14:paraId="21C9A556">
        <w:tblPrEx>
          <w:tblCellMar>
            <w:top w:w="0" w:type="dxa"/>
            <w:left w:w="108" w:type="dxa"/>
            <w:bottom w:w="0" w:type="dxa"/>
            <w:right w:w="108" w:type="dxa"/>
          </w:tblCellMar>
        </w:tblPrEx>
        <w:trPr>
          <w:trHeight w:val="435"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7CE21710">
            <w:pPr>
              <w:keepNext w:val="0"/>
              <w:keepLines w:val="0"/>
              <w:pageBreakBefore w:val="0"/>
              <w:widowControl/>
              <w:suppressLineNumbers w:val="0"/>
              <w:wordWrap/>
              <w:overflowPunct/>
              <w:topLinePunct w:val="0"/>
              <w:bidi w:val="0"/>
              <w:spacing w:line="600" w:lineRule="exact"/>
              <w:ind w:left="0" w:leftChars="0" w:right="0" w:firstLine="482" w:firstLineChars="200"/>
              <w:jc w:val="both"/>
              <w:textAlignment w:val="center"/>
              <w:rPr>
                <w:rFonts w:hint="eastAsia" w:ascii="宋体" w:hAnsi="宋体" w:eastAsia="宋体" w:cs="宋体"/>
                <w:b/>
                <w:bCs/>
                <w:i w:val="0"/>
                <w:iCs w:val="0"/>
                <w:color w:val="000000"/>
                <w:sz w:val="24"/>
                <w:szCs w:val="24"/>
                <w:u w:val="none"/>
                <w:lang w:val="en-US" w:eastAsia="zh-CN" w:bidi="zh-CN"/>
              </w:rPr>
            </w:pP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011F076B">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663" w:firstLineChars="300"/>
              <w:jc w:val="both"/>
              <w:textAlignment w:val="center"/>
              <w:rPr>
                <w:rFonts w:hint="eastAsia" w:ascii="宋体" w:hAnsi="宋体" w:eastAsia="宋体" w:cs="宋体"/>
                <w:b/>
                <w:bCs/>
                <w:i w:val="0"/>
                <w:iCs w:val="0"/>
                <w:color w:val="000000"/>
                <w:sz w:val="24"/>
                <w:szCs w:val="24"/>
                <w:u w:val="none"/>
                <w:lang w:val="en-US" w:eastAsia="zh-CN" w:bidi="zh-CN"/>
              </w:rPr>
            </w:pPr>
            <w:r>
              <w:rPr>
                <w:rFonts w:hint="eastAsia" w:ascii="仿宋_GB2312" w:hAnsi="仿宋_GB2312" w:eastAsia="仿宋_GB2312" w:cs="仿宋_GB2312"/>
                <w:b/>
                <w:bCs/>
                <w:i w:val="0"/>
                <w:iCs w:val="0"/>
                <w:snapToGrid w:val="0"/>
                <w:color w:val="000000"/>
                <w:kern w:val="0"/>
                <w:sz w:val="22"/>
                <w:szCs w:val="22"/>
                <w:u w:val="none"/>
                <w:lang w:val="en-US" w:eastAsia="zh-CN" w:bidi="ar"/>
              </w:rPr>
              <w:t>合计</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0A715FCA">
            <w:pPr>
              <w:keepNext w:val="0"/>
              <w:keepLines w:val="0"/>
              <w:pageBreakBefore w:val="0"/>
              <w:kinsoku/>
              <w:wordWrap/>
              <w:overflowPunct/>
              <w:topLinePunct w:val="0"/>
              <w:autoSpaceDE/>
              <w:autoSpaceDN/>
              <w:bidi w:val="0"/>
              <w:adjustRightInd/>
              <w:snapToGrid/>
              <w:spacing w:line="240" w:lineRule="atLeast"/>
              <w:ind w:left="0" w:leftChars="0" w:right="0" w:firstLine="482" w:firstLineChars="200"/>
              <w:jc w:val="center"/>
              <w:rPr>
                <w:rFonts w:hint="eastAsia" w:ascii="宋体" w:hAnsi="宋体" w:eastAsia="宋体" w:cs="宋体"/>
                <w:b/>
                <w:bCs/>
                <w:i w:val="0"/>
                <w:iCs w:val="0"/>
                <w:color w:val="000000"/>
                <w:sz w:val="24"/>
                <w:szCs w:val="24"/>
                <w:u w:val="none"/>
                <w:lang w:val="en-US" w:eastAsia="zh-CN" w:bidi="zh-CN"/>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6E94BEBF">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2" w:firstLineChars="200"/>
              <w:jc w:val="both"/>
              <w:textAlignment w:val="center"/>
              <w:rPr>
                <w:rFonts w:hint="eastAsia" w:ascii="宋体" w:hAnsi="宋体" w:eastAsia="宋体" w:cs="宋体"/>
                <w:b/>
                <w:bCs/>
                <w:i w:val="0"/>
                <w:iCs w:val="0"/>
                <w:color w:val="000000"/>
                <w:sz w:val="24"/>
                <w:szCs w:val="24"/>
                <w:u w:val="none"/>
                <w:lang w:val="en-US" w:eastAsia="zh-CN" w:bidi="zh-CN"/>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6E28671">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442" w:firstLineChars="200"/>
              <w:jc w:val="both"/>
              <w:textAlignment w:val="center"/>
              <w:rPr>
                <w:rFonts w:hint="eastAsia" w:ascii="宋体" w:hAnsi="宋体" w:eastAsia="宋体" w:cs="宋体"/>
                <w:b/>
                <w:bCs/>
                <w:i w:val="0"/>
                <w:iCs w:val="0"/>
                <w:color w:val="000000"/>
                <w:sz w:val="24"/>
                <w:szCs w:val="24"/>
                <w:u w:val="none"/>
                <w:lang w:val="en-US" w:eastAsia="zh-CN" w:bidi="zh-CN"/>
              </w:rPr>
            </w:pPr>
            <w:r>
              <w:rPr>
                <w:rFonts w:hint="eastAsia" w:ascii="仿宋_GB2312" w:hAnsi="仿宋_GB2312" w:eastAsia="仿宋_GB2312" w:cs="仿宋_GB2312"/>
                <w:b/>
                <w:bCs/>
                <w:i w:val="0"/>
                <w:iCs w:val="0"/>
                <w:snapToGrid w:val="0"/>
                <w:color w:val="000000"/>
                <w:kern w:val="0"/>
                <w:sz w:val="22"/>
                <w:szCs w:val="22"/>
                <w:u w:val="none"/>
                <w:lang w:val="en-US" w:eastAsia="zh-CN" w:bidi="ar"/>
              </w:rPr>
              <w:t>98.6%</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5BA1EB3">
            <w:pPr>
              <w:pageBreakBefore w:val="0"/>
              <w:wordWrap/>
              <w:overflowPunct/>
              <w:topLinePunct w:val="0"/>
              <w:bidi w:val="0"/>
              <w:spacing w:line="600" w:lineRule="exact"/>
              <w:ind w:left="0" w:leftChars="0" w:right="0" w:firstLine="482" w:firstLineChars="200"/>
              <w:jc w:val="center"/>
              <w:rPr>
                <w:rFonts w:hint="eastAsia" w:ascii="宋体" w:hAnsi="宋体" w:eastAsia="宋体" w:cs="宋体"/>
                <w:b/>
                <w:bCs/>
                <w:i w:val="0"/>
                <w:iCs w:val="0"/>
                <w:color w:val="000000"/>
                <w:sz w:val="24"/>
                <w:szCs w:val="24"/>
                <w:u w:val="none"/>
                <w:lang w:val="en-US" w:eastAsia="zh-CN" w:bidi="zh-CN"/>
              </w:rPr>
            </w:pPr>
          </w:p>
        </w:tc>
      </w:tr>
    </w:tbl>
    <w:p w14:paraId="3AF027FD">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0" w:firstLineChars="200"/>
        <w:jc w:val="both"/>
        <w:textAlignment w:val="center"/>
        <w:rPr>
          <w:rStyle w:val="11"/>
          <w:rFonts w:hint="eastAsia" w:ascii="仿宋_GB2312" w:hAnsi="仿宋_GB2312" w:eastAsia="仿宋_GB2312" w:cs="Times New Roman"/>
          <w:sz w:val="24"/>
          <w:lang w:val="en-US" w:eastAsia="zh-CN"/>
        </w:rPr>
      </w:pPr>
      <w:r>
        <w:rPr>
          <w:rStyle w:val="11"/>
          <w:rFonts w:hint="eastAsia" w:ascii="仿宋_GB2312" w:hAnsi="仿宋_GB2312" w:eastAsia="仿宋_GB2312" w:cs="Times New Roman"/>
          <w:sz w:val="24"/>
          <w:lang w:val="en-US" w:eastAsia="zh-CN"/>
        </w:rPr>
        <w:t>备注：项目招投标和购进农机装备、秧盘、培基肥等奖补资金执行过程中，仍有结余资金，可用于“一喷多促”药物补助、项目标识牌制作、技术指导培训等与项目实施相关的内容。</w:t>
      </w:r>
    </w:p>
    <w:p w14:paraId="56AB5D12">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Style w:val="11"/>
          <w:rFonts w:hint="eastAsia" w:ascii="黑体" w:hAnsi="黑体" w:eastAsia="黑体" w:cs="黑体"/>
          <w:b w:val="0"/>
          <w:bCs/>
          <w:color w:val="000000"/>
          <w:kern w:val="0"/>
          <w:sz w:val="32"/>
          <w:szCs w:val="32"/>
        </w:rPr>
      </w:pPr>
      <w:r>
        <w:rPr>
          <w:rStyle w:val="11"/>
          <w:rFonts w:hint="eastAsia" w:ascii="黑体" w:hAnsi="黑体" w:eastAsia="黑体" w:cs="黑体"/>
          <w:b w:val="0"/>
          <w:bCs/>
          <w:color w:val="000000"/>
          <w:kern w:val="0"/>
          <w:sz w:val="32"/>
          <w:szCs w:val="32"/>
          <w:lang w:eastAsia="zh-CN"/>
        </w:rPr>
        <w:t>六</w:t>
      </w:r>
      <w:r>
        <w:rPr>
          <w:rStyle w:val="11"/>
          <w:rFonts w:hint="eastAsia" w:ascii="黑体" w:hAnsi="黑体" w:eastAsia="黑体" w:cs="黑体"/>
          <w:b w:val="0"/>
          <w:bCs/>
          <w:color w:val="000000"/>
          <w:kern w:val="0"/>
          <w:sz w:val="32"/>
          <w:szCs w:val="32"/>
        </w:rPr>
        <w:t>、</w:t>
      </w:r>
      <w:r>
        <w:rPr>
          <w:rStyle w:val="11"/>
          <w:rFonts w:hint="eastAsia" w:ascii="黑体" w:hAnsi="黑体" w:eastAsia="黑体" w:cs="黑体"/>
          <w:b w:val="0"/>
          <w:bCs/>
          <w:color w:val="000000"/>
          <w:kern w:val="0"/>
          <w:sz w:val="32"/>
          <w:szCs w:val="32"/>
          <w:lang w:eastAsia="zh-CN"/>
        </w:rPr>
        <w:t>项目实施组织管理与</w:t>
      </w:r>
      <w:r>
        <w:rPr>
          <w:rStyle w:val="11"/>
          <w:rFonts w:hint="eastAsia" w:ascii="黑体" w:hAnsi="黑体" w:eastAsia="黑体" w:cs="黑体"/>
          <w:b w:val="0"/>
          <w:bCs/>
          <w:color w:val="000000"/>
          <w:kern w:val="0"/>
          <w:sz w:val="32"/>
          <w:szCs w:val="32"/>
        </w:rPr>
        <w:t>保障措施</w:t>
      </w:r>
    </w:p>
    <w:p w14:paraId="12752A76">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楷体_GB2312" w:hAnsi="楷体_GB2312" w:eastAsia="楷体_GB2312" w:cs="楷体_GB2312"/>
          <w:sz w:val="32"/>
          <w:szCs w:val="32"/>
          <w:lang w:val="en-US" w:eastAsia="zh-CN"/>
        </w:rPr>
      </w:pPr>
      <w:r>
        <w:rPr>
          <w:rStyle w:val="11"/>
          <w:rFonts w:hint="eastAsia" w:ascii="楷体_GB2312" w:hAnsi="楷体_GB2312" w:eastAsia="楷体_GB2312" w:cs="楷体_GB2312"/>
          <w:color w:val="000000"/>
          <w:kern w:val="0"/>
          <w:sz w:val="32"/>
          <w:szCs w:val="32"/>
          <w:lang w:val="en-US" w:eastAsia="zh-CN"/>
        </w:rPr>
        <w:t>（一）项目组织管理</w:t>
      </w:r>
    </w:p>
    <w:p w14:paraId="60DB0967">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项目资金下达后，将及时按照省农业农村厅下达的项目任务清单、实施方案和有关资金管理办法，结合我市实际制定项目具体实施方案，合理安排资金使用进度，确保项目在2026年10月底前顺利完成。</w:t>
      </w:r>
    </w:p>
    <w:p w14:paraId="2531749D">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1、成立项目领导小组。</w:t>
      </w:r>
      <w:r>
        <w:rPr>
          <w:rFonts w:hint="eastAsia" w:ascii="仿宋_GB2312" w:hAnsi="仿宋_GB2312" w:eastAsia="仿宋_GB2312" w:cs="仿宋_GB2312"/>
          <w:sz w:val="32"/>
          <w:szCs w:val="32"/>
          <w:highlight w:val="none"/>
          <w:lang w:val="en-US" w:eastAsia="zh-CN"/>
        </w:rPr>
        <w:t>为认真组织实施项目建设，协调好建设过程中出现的问题，确保项目建设内容按质按量如期完成。陆丰市农业农村局成立项目领导小组，由局长任组长，分管副局长任副组长，局种植业管理与植保植检股、农业机械化与农田管理股、科技教育与种业管理股、财务股等为小组成员。领导小组负责统筹项目实施管理工作，解决项目实施中的方案制定、资金申办、项目指导、检查和监督抽查等相关工作。各镇街场成立镇级项目实施审核验收小组，由分管领导任组长，经发办和服务中心为成员，对当地的参与项目实施主体进行审核和项目跟进、收集上报等工作。</w:t>
      </w:r>
    </w:p>
    <w:p w14:paraId="0AEF5B6D">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2、成立技术指导小组。</w:t>
      </w:r>
      <w:r>
        <w:rPr>
          <w:rFonts w:hint="eastAsia" w:ascii="仿宋_GB2312" w:hAnsi="仿宋_GB2312" w:eastAsia="仿宋_GB2312" w:cs="仿宋_GB2312"/>
          <w:sz w:val="32"/>
          <w:szCs w:val="32"/>
          <w:highlight w:val="none"/>
          <w:lang w:val="en-US" w:eastAsia="zh-CN"/>
        </w:rPr>
        <w:t>由分管副局长任组长，种植业管理与植保植检股、种子站、植保植检站为成员。以科技特派员为基础，开展密植促单产技术服务工作，负责督促指导项目实施主体严格落实生产主体责任制度，建立完善插秧、田管、测产等相关相片、生产台账等相关项目资料，强化项目监管，按要求报告项目实施进展情况及项目工作总结。</w:t>
      </w:r>
    </w:p>
    <w:p w14:paraId="49D9BD26">
      <w:pPr>
        <w:pStyle w:val="2"/>
        <w:keepNext w:val="0"/>
        <w:keepLines w:val="0"/>
        <w:pageBreakBefore w:val="0"/>
        <w:widowControl w:val="0"/>
        <w:kinsoku/>
        <w:wordWrap/>
        <w:overflowPunct/>
        <w:topLinePunct w:val="0"/>
        <w:autoSpaceDE/>
        <w:autoSpaceDN/>
        <w:bidi w:val="0"/>
        <w:adjustRightInd/>
        <w:spacing w:after="0" w:line="600" w:lineRule="exact"/>
        <w:ind w:left="0" w:leftChars="0" w:firstLine="640" w:firstLineChars="200"/>
        <w:textAlignment w:val="auto"/>
        <w:rPr>
          <w:rFonts w:hint="default"/>
          <w:lang w:val="en-US" w:eastAsia="zh-CN"/>
        </w:rPr>
      </w:pPr>
      <w:r>
        <w:rPr>
          <w:rFonts w:hint="eastAsia" w:ascii="楷体_GB2312" w:hAnsi="楷体_GB2312" w:eastAsia="楷体_GB2312" w:cs="楷体_GB2312"/>
          <w:sz w:val="32"/>
          <w:szCs w:val="32"/>
          <w:highlight w:val="none"/>
          <w:lang w:val="en-US" w:eastAsia="zh-CN"/>
        </w:rPr>
        <w:t>3、成立服务单位或实施主体奖补审核小组</w:t>
      </w:r>
      <w:r>
        <w:rPr>
          <w:rFonts w:hint="eastAsia" w:ascii="仿宋_GB2312" w:hAnsi="仿宋_GB2312" w:cs="仿宋_GB2312"/>
          <w:sz w:val="32"/>
          <w:szCs w:val="32"/>
          <w:highlight w:val="none"/>
          <w:lang w:val="en-US" w:eastAsia="zh-CN"/>
        </w:rPr>
        <w:t>。分管业务副局长任组长，种植业管理与植保植检股为牵头股室，法规信息与乡村产业发展股、计划财务股、</w:t>
      </w:r>
      <w:r>
        <w:rPr>
          <w:rFonts w:hint="eastAsia" w:ascii="仿宋_GB2312" w:hAnsi="仿宋_GB2312" w:eastAsia="仿宋_GB2312" w:cs="仿宋_GB2312"/>
          <w:sz w:val="32"/>
          <w:szCs w:val="32"/>
          <w:highlight w:val="none"/>
          <w:lang w:val="en-US" w:eastAsia="zh-CN"/>
        </w:rPr>
        <w:t>农业机械化与农田管理股、科技教育与种业管理股</w:t>
      </w:r>
      <w:r>
        <w:rPr>
          <w:rFonts w:hint="eastAsia" w:ascii="仿宋_GB2312" w:hAnsi="仿宋_GB2312" w:cs="仿宋_GB2312"/>
          <w:sz w:val="32"/>
          <w:szCs w:val="32"/>
          <w:highlight w:val="none"/>
          <w:lang w:val="en-US" w:eastAsia="zh-CN"/>
        </w:rPr>
        <w:t>、植保植检站等抽调人员组成。负责各镇街场上报的奖补审核工作，向财政申报相关补贴。各镇街场相关成立奖补审核小组，对参与主体实施的面积、密度、增产情况进行审核，将符合补贴条件的种植主体和服务主体向市农业农村局申报。</w:t>
      </w:r>
    </w:p>
    <w:p w14:paraId="52E423CF">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（二）项目保障措施</w:t>
      </w:r>
    </w:p>
    <w:p w14:paraId="0BCEE015">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1、强化资金管理。</w:t>
      </w:r>
      <w:r>
        <w:rPr>
          <w:rFonts w:hint="eastAsia" w:ascii="仿宋_GB2312" w:hAnsi="仿宋_GB2312" w:eastAsia="仿宋_GB2312" w:cs="仿宋_GB2312"/>
          <w:sz w:val="32"/>
          <w:szCs w:val="32"/>
          <w:lang w:val="en-US" w:eastAsia="zh-CN"/>
        </w:rPr>
        <w:t>为确保项目的顺利实施及验收工作，我们将严格按照</w:t>
      </w:r>
      <w:r>
        <w:rPr>
          <w:rFonts w:hint="eastAsia" w:ascii="仿宋_GB2312" w:hAnsi="仿宋_GB2312" w:eastAsia="仿宋_GB2312" w:cs="仿宋_GB2312"/>
          <w:spacing w:val="0"/>
          <w:w w:val="100"/>
          <w:position w:val="0"/>
          <w:sz w:val="32"/>
          <w:szCs w:val="32"/>
          <w:lang w:eastAsia="zh-CN"/>
        </w:rPr>
        <w:t>广东省农业农村厅《关于印发2026年乡村振兴战略专项省级项目（第二批）入库申报指南的通知》</w:t>
      </w:r>
      <w:r>
        <w:rPr>
          <w:rFonts w:hint="eastAsia" w:ascii="仿宋_GB2312" w:hAnsi="仿宋_GB2312" w:eastAsia="仿宋_GB2312" w:cs="仿宋_GB2312"/>
          <w:sz w:val="32"/>
          <w:szCs w:val="32"/>
          <w:lang w:val="en-US" w:eastAsia="zh-CN"/>
        </w:rPr>
        <w:t>文件的项目资金任务要求，加强资金监管，确保专款专用，加强绩效目标监控和绩效评价，确保完成任务。</w:t>
      </w:r>
    </w:p>
    <w:p w14:paraId="3448E074">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2、强化组织管理。</w:t>
      </w:r>
      <w:r>
        <w:rPr>
          <w:rFonts w:hint="eastAsia" w:ascii="仿宋_GB2312" w:hAnsi="仿宋_GB2312" w:eastAsia="仿宋_GB2312" w:cs="仿宋_GB2312"/>
          <w:sz w:val="32"/>
          <w:szCs w:val="32"/>
          <w:lang w:val="en-US" w:eastAsia="zh-CN"/>
        </w:rPr>
        <w:t>本项目建设在项目建设领导小组的统一领导下，由项目指导小组负责密植种植主体的监管工作，指导参与项目建设种植主体严格按要求进行合理密植，明确种植地点、种植面积、密植规格等。参与单位公开承诺，做到地点明确，职责分明，真正做到谁主管，谁负责。</w:t>
      </w:r>
    </w:p>
    <w:p w14:paraId="37183004">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3、强化宣传引导。</w:t>
      </w:r>
      <w:r>
        <w:rPr>
          <w:rFonts w:hint="eastAsia" w:ascii="仿宋_GB2312" w:hAnsi="仿宋_GB2312" w:eastAsia="仿宋_GB2312" w:cs="仿宋_GB2312"/>
          <w:sz w:val="32"/>
          <w:szCs w:val="32"/>
          <w:lang w:val="en-US" w:eastAsia="zh-CN"/>
        </w:rPr>
        <w:t>在全市总结推广水稻合理密植技术项目实施的经典经验，广泛利用各种渠道加强宣传，营造良好氛围，提升农民种粮积极性。</w:t>
      </w:r>
    </w:p>
    <w:p w14:paraId="0011001A">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4、强化项目监督。</w:t>
      </w:r>
      <w:r>
        <w:rPr>
          <w:rFonts w:hint="eastAsia" w:ascii="仿宋_GB2312" w:hAnsi="仿宋_GB2312" w:eastAsia="仿宋_GB2312" w:cs="仿宋_GB2312"/>
          <w:sz w:val="32"/>
          <w:szCs w:val="32"/>
          <w:lang w:val="en-US" w:eastAsia="zh-CN"/>
        </w:rPr>
        <w:t>市农业农村局强化实施监督，强化过程管理，全过程建档，由专人负责做好项目档案管理，做好项目建设方案、参与合理密植种植农户、地块、产量水平等信息台账建立、公开、公示参与信息，确保项目实施规范有序、资金发放公开透明。</w:t>
      </w:r>
    </w:p>
    <w:p w14:paraId="6186C42C">
      <w:pPr>
        <w:pStyle w:val="2"/>
        <w:pageBreakBefore w:val="0"/>
        <w:wordWrap/>
        <w:overflowPunct/>
        <w:topLinePunct w:val="0"/>
        <w:bidi w:val="0"/>
        <w:spacing w:after="0" w:line="600" w:lineRule="exact"/>
        <w:ind w:left="0" w:leftChars="0" w:right="0" w:firstLine="640" w:firstLineChars="200"/>
        <w:rPr>
          <w:rFonts w:hint="default"/>
          <w:lang w:val="en-US" w:eastAsia="zh-CN"/>
        </w:rPr>
      </w:pPr>
    </w:p>
    <w:p w14:paraId="580446FC">
      <w:pPr>
        <w:pStyle w:val="2"/>
        <w:pageBreakBefore w:val="0"/>
        <w:wordWrap/>
        <w:overflowPunct/>
        <w:topLinePunct w:val="0"/>
        <w:bidi w:val="0"/>
        <w:spacing w:after="0" w:line="600" w:lineRule="exact"/>
        <w:ind w:left="0" w:leftChars="0" w:right="0" w:firstLine="640" w:firstLineChars="200"/>
        <w:rPr>
          <w:rFonts w:hint="default"/>
          <w:lang w:val="en-US" w:eastAsia="zh-CN"/>
        </w:rPr>
      </w:pPr>
    </w:p>
    <w:sectPr>
      <w:headerReference r:id="rId3" w:type="default"/>
      <w:footerReference r:id="rId4" w:type="default"/>
      <w:pgSz w:w="11906" w:h="16838"/>
      <w:pgMar w:top="1213" w:right="1746" w:bottom="1383"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79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DF5BB">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3DF5BB">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22E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10441"/>
    <w:multiLevelType w:val="singleLevel"/>
    <w:tmpl w:val="B18104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B75C7"/>
    <w:rsid w:val="002410F1"/>
    <w:rsid w:val="008B1170"/>
    <w:rsid w:val="02223D56"/>
    <w:rsid w:val="029A6FC1"/>
    <w:rsid w:val="02BA3F8E"/>
    <w:rsid w:val="02D2561E"/>
    <w:rsid w:val="032F04D8"/>
    <w:rsid w:val="03945E14"/>
    <w:rsid w:val="03E5503B"/>
    <w:rsid w:val="04706FFA"/>
    <w:rsid w:val="04714B20"/>
    <w:rsid w:val="0506170D"/>
    <w:rsid w:val="05453FE3"/>
    <w:rsid w:val="06135E8F"/>
    <w:rsid w:val="062F6A41"/>
    <w:rsid w:val="06B31420"/>
    <w:rsid w:val="07506C6F"/>
    <w:rsid w:val="078B414B"/>
    <w:rsid w:val="084E7652"/>
    <w:rsid w:val="08DF64FD"/>
    <w:rsid w:val="092B7994"/>
    <w:rsid w:val="09426170"/>
    <w:rsid w:val="095347F5"/>
    <w:rsid w:val="098175B4"/>
    <w:rsid w:val="0A942C23"/>
    <w:rsid w:val="0ADA51CD"/>
    <w:rsid w:val="0B2621C1"/>
    <w:rsid w:val="0BDC31C7"/>
    <w:rsid w:val="0C403756"/>
    <w:rsid w:val="0C5C1C12"/>
    <w:rsid w:val="0E3F3599"/>
    <w:rsid w:val="0F3B1FB3"/>
    <w:rsid w:val="0F501F02"/>
    <w:rsid w:val="100B068C"/>
    <w:rsid w:val="10190546"/>
    <w:rsid w:val="11203B56"/>
    <w:rsid w:val="11EE77B0"/>
    <w:rsid w:val="126857B5"/>
    <w:rsid w:val="126D2DCB"/>
    <w:rsid w:val="12D85778"/>
    <w:rsid w:val="1303728B"/>
    <w:rsid w:val="13497394"/>
    <w:rsid w:val="13E40E6B"/>
    <w:rsid w:val="14072DAB"/>
    <w:rsid w:val="15045124"/>
    <w:rsid w:val="152D05F0"/>
    <w:rsid w:val="15B668F7"/>
    <w:rsid w:val="1606331B"/>
    <w:rsid w:val="168E3310"/>
    <w:rsid w:val="16D57191"/>
    <w:rsid w:val="1780739A"/>
    <w:rsid w:val="17DA697F"/>
    <w:rsid w:val="17F11DA8"/>
    <w:rsid w:val="19102906"/>
    <w:rsid w:val="1982691A"/>
    <w:rsid w:val="1B294A0B"/>
    <w:rsid w:val="1BB23859"/>
    <w:rsid w:val="1BF22AA7"/>
    <w:rsid w:val="1D7002CC"/>
    <w:rsid w:val="1E004AF3"/>
    <w:rsid w:val="1E29229C"/>
    <w:rsid w:val="1E672DC4"/>
    <w:rsid w:val="1E9F430C"/>
    <w:rsid w:val="1F6E1F30"/>
    <w:rsid w:val="20957C6F"/>
    <w:rsid w:val="20EC135F"/>
    <w:rsid w:val="244F347C"/>
    <w:rsid w:val="249917FE"/>
    <w:rsid w:val="24A563F4"/>
    <w:rsid w:val="25556F4C"/>
    <w:rsid w:val="25C31D0A"/>
    <w:rsid w:val="260E1D77"/>
    <w:rsid w:val="26543C2E"/>
    <w:rsid w:val="265956E8"/>
    <w:rsid w:val="282B3D71"/>
    <w:rsid w:val="28AD5878"/>
    <w:rsid w:val="295308CA"/>
    <w:rsid w:val="298D0473"/>
    <w:rsid w:val="2B2362C5"/>
    <w:rsid w:val="2BA51C63"/>
    <w:rsid w:val="2BCE4483"/>
    <w:rsid w:val="2BFA5278"/>
    <w:rsid w:val="2CBC252D"/>
    <w:rsid w:val="2D4367AA"/>
    <w:rsid w:val="2DB9081B"/>
    <w:rsid w:val="2DE2550E"/>
    <w:rsid w:val="2E3D7B73"/>
    <w:rsid w:val="2E9D013C"/>
    <w:rsid w:val="2EF50491"/>
    <w:rsid w:val="2F61560E"/>
    <w:rsid w:val="30607673"/>
    <w:rsid w:val="30800DD3"/>
    <w:rsid w:val="30872CAA"/>
    <w:rsid w:val="31716284"/>
    <w:rsid w:val="31A87524"/>
    <w:rsid w:val="32943604"/>
    <w:rsid w:val="33B722C4"/>
    <w:rsid w:val="33B835ED"/>
    <w:rsid w:val="33E32A95"/>
    <w:rsid w:val="34B14942"/>
    <w:rsid w:val="3529097C"/>
    <w:rsid w:val="353115DE"/>
    <w:rsid w:val="3583008C"/>
    <w:rsid w:val="35F76384"/>
    <w:rsid w:val="36BB1AA7"/>
    <w:rsid w:val="374B4BD9"/>
    <w:rsid w:val="37D746BF"/>
    <w:rsid w:val="38402264"/>
    <w:rsid w:val="38983E4E"/>
    <w:rsid w:val="39504414"/>
    <w:rsid w:val="39F552D0"/>
    <w:rsid w:val="3A35391F"/>
    <w:rsid w:val="3A6A35C8"/>
    <w:rsid w:val="3B4262F3"/>
    <w:rsid w:val="3B523C95"/>
    <w:rsid w:val="3B871F58"/>
    <w:rsid w:val="3BB54D17"/>
    <w:rsid w:val="3C3742B1"/>
    <w:rsid w:val="3C636521"/>
    <w:rsid w:val="3CB11983"/>
    <w:rsid w:val="3DA2751D"/>
    <w:rsid w:val="3F32667F"/>
    <w:rsid w:val="3FD634AE"/>
    <w:rsid w:val="3FF322B2"/>
    <w:rsid w:val="422B7AE1"/>
    <w:rsid w:val="42D53EF1"/>
    <w:rsid w:val="42E65177"/>
    <w:rsid w:val="42E83C24"/>
    <w:rsid w:val="432B3B11"/>
    <w:rsid w:val="436C6603"/>
    <w:rsid w:val="43BA55CF"/>
    <w:rsid w:val="445F1CC4"/>
    <w:rsid w:val="4589146E"/>
    <w:rsid w:val="45B63B66"/>
    <w:rsid w:val="461B7E6D"/>
    <w:rsid w:val="474D22A8"/>
    <w:rsid w:val="47C64868"/>
    <w:rsid w:val="48DF5182"/>
    <w:rsid w:val="493A4AAE"/>
    <w:rsid w:val="49521DF7"/>
    <w:rsid w:val="49755AE6"/>
    <w:rsid w:val="49B27143"/>
    <w:rsid w:val="49ED38CE"/>
    <w:rsid w:val="4A663B65"/>
    <w:rsid w:val="4AAA5C63"/>
    <w:rsid w:val="4B481704"/>
    <w:rsid w:val="4B9C38A1"/>
    <w:rsid w:val="4C2A705C"/>
    <w:rsid w:val="4C68698C"/>
    <w:rsid w:val="4C7327B1"/>
    <w:rsid w:val="4CCC3C6F"/>
    <w:rsid w:val="4D9549A9"/>
    <w:rsid w:val="4DB56DF9"/>
    <w:rsid w:val="4DED6593"/>
    <w:rsid w:val="4DFF0074"/>
    <w:rsid w:val="4E573A0C"/>
    <w:rsid w:val="4EBF6A8F"/>
    <w:rsid w:val="50285660"/>
    <w:rsid w:val="509251CF"/>
    <w:rsid w:val="50C555A5"/>
    <w:rsid w:val="50FB2D75"/>
    <w:rsid w:val="51624BA2"/>
    <w:rsid w:val="52293911"/>
    <w:rsid w:val="522F5B5E"/>
    <w:rsid w:val="52554706"/>
    <w:rsid w:val="52721C64"/>
    <w:rsid w:val="527E3C5D"/>
    <w:rsid w:val="534E02B7"/>
    <w:rsid w:val="53515468"/>
    <w:rsid w:val="53590226"/>
    <w:rsid w:val="540D34EB"/>
    <w:rsid w:val="557D01FC"/>
    <w:rsid w:val="55937A20"/>
    <w:rsid w:val="55B07EF6"/>
    <w:rsid w:val="56ED7603"/>
    <w:rsid w:val="572F19CA"/>
    <w:rsid w:val="589E4DC6"/>
    <w:rsid w:val="59B461B6"/>
    <w:rsid w:val="5A5F25C6"/>
    <w:rsid w:val="5AA9797E"/>
    <w:rsid w:val="5BE07737"/>
    <w:rsid w:val="5BE53301"/>
    <w:rsid w:val="5D3715D8"/>
    <w:rsid w:val="5D445C90"/>
    <w:rsid w:val="5E960581"/>
    <w:rsid w:val="5EC7073A"/>
    <w:rsid w:val="5F0533A9"/>
    <w:rsid w:val="5F1119B5"/>
    <w:rsid w:val="5F13572D"/>
    <w:rsid w:val="5FB058E4"/>
    <w:rsid w:val="5FDC7C4C"/>
    <w:rsid w:val="60465695"/>
    <w:rsid w:val="60A52CFD"/>
    <w:rsid w:val="61475B62"/>
    <w:rsid w:val="616B35FF"/>
    <w:rsid w:val="6200468F"/>
    <w:rsid w:val="623323C5"/>
    <w:rsid w:val="64524F4A"/>
    <w:rsid w:val="6470717E"/>
    <w:rsid w:val="64FF0C2E"/>
    <w:rsid w:val="65197815"/>
    <w:rsid w:val="665F56FC"/>
    <w:rsid w:val="67A1421E"/>
    <w:rsid w:val="67D839B8"/>
    <w:rsid w:val="6884144A"/>
    <w:rsid w:val="69230C63"/>
    <w:rsid w:val="696077C1"/>
    <w:rsid w:val="6AE368FC"/>
    <w:rsid w:val="6AE82164"/>
    <w:rsid w:val="6AEB5FDE"/>
    <w:rsid w:val="6B320689"/>
    <w:rsid w:val="6B916358"/>
    <w:rsid w:val="6B9A16B0"/>
    <w:rsid w:val="6BB169FA"/>
    <w:rsid w:val="6CB4386E"/>
    <w:rsid w:val="6CB93DB8"/>
    <w:rsid w:val="6D140FEE"/>
    <w:rsid w:val="6D612FF9"/>
    <w:rsid w:val="6D661494"/>
    <w:rsid w:val="6DE54739"/>
    <w:rsid w:val="6E6733A0"/>
    <w:rsid w:val="6F63000B"/>
    <w:rsid w:val="6FA125A5"/>
    <w:rsid w:val="702A16D4"/>
    <w:rsid w:val="717B75C7"/>
    <w:rsid w:val="71E847F7"/>
    <w:rsid w:val="728A405B"/>
    <w:rsid w:val="73AD5CF9"/>
    <w:rsid w:val="746B3172"/>
    <w:rsid w:val="74776FE9"/>
    <w:rsid w:val="74B310ED"/>
    <w:rsid w:val="753164B5"/>
    <w:rsid w:val="7589009F"/>
    <w:rsid w:val="758D5DE2"/>
    <w:rsid w:val="76FF2D0F"/>
    <w:rsid w:val="77147E3D"/>
    <w:rsid w:val="775748F9"/>
    <w:rsid w:val="77FE4D75"/>
    <w:rsid w:val="78280044"/>
    <w:rsid w:val="794C1B10"/>
    <w:rsid w:val="794E5888"/>
    <w:rsid w:val="7A08012D"/>
    <w:rsid w:val="7A6A66F1"/>
    <w:rsid w:val="7A996FD7"/>
    <w:rsid w:val="7AC1208A"/>
    <w:rsid w:val="7B5C2D88"/>
    <w:rsid w:val="7B8133F2"/>
    <w:rsid w:val="7BB0282A"/>
    <w:rsid w:val="7C756828"/>
    <w:rsid w:val="7D7E4262"/>
    <w:rsid w:val="7DC84D08"/>
    <w:rsid w:val="7DE50961"/>
    <w:rsid w:val="7E8A7362"/>
    <w:rsid w:val="7F58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仿宋_GB2312"/>
      <w:sz w:val="32"/>
    </w:rPr>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qFormat/>
    <w:uiPriority w:val="0"/>
  </w:style>
  <w:style w:type="character" w:customStyle="1" w:styleId="12">
    <w:name w:val="UserStyle_2"/>
    <w:semiHidden/>
    <w:qFormat/>
    <w:uiPriority w:val="0"/>
    <w:rPr>
      <w:kern w:val="2"/>
      <w:sz w:val="32"/>
      <w:lang w:val="en-US" w:eastAsia="zh-CN" w:bidi="ar-SA"/>
    </w:rPr>
  </w:style>
  <w:style w:type="paragraph" w:customStyle="1" w:styleId="13">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4275</Words>
  <Characters>4485</Characters>
  <Lines>0</Lines>
  <Paragraphs>0</Paragraphs>
  <TotalTime>3</TotalTime>
  <ScaleCrop>false</ScaleCrop>
  <LinksUpToDate>false</LinksUpToDate>
  <CharactersWithSpaces>4490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2024-11-29T08:48:00Z</dcterms:created>
  <dc:creator>人生在涂</dc:creator>
  <cp:lastModifiedBy>恶多心</cp:lastModifiedBy>
  <cp:lastPrinted>2026-05-21T08:50:00Z</cp:lastPrinted>
  <dcterms:modified xsi:type="dcterms:W3CDTF">2026-06-01T07:50:56Z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0FB5F5EF66E24130AE22A484CC1D3512_13</vt:lpwstr>
  </property>
  <property fmtid="{D5CDD505-2E9C-101B-9397-08002B2CF9AE}" pid="4" name="KSOTemplateDocerSaveRecord">
    <vt:lpwstr>eyJoZGlkIjoiMTU5ZjYwNjk2NTBlZjI1ZDM0ZGNiYWZiZjNjNmFjNjYiLCJ1c2VySWQiOiIzNDE5MjI2OTAifQ==</vt:lpwstr>
  </property>
</Properties>
</file>