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85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highlight w:val="none"/>
        </w:rPr>
        <w:t>河西街道202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highlight w:val="none"/>
        </w:rPr>
        <w:t>年年终工作总结和</w:t>
      </w:r>
    </w:p>
    <w:p w14:paraId="3D484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highlight w:val="none"/>
        </w:rPr>
        <w:t>年工作打算</w:t>
      </w:r>
    </w:p>
    <w:p w14:paraId="72CDC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6EB9B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highlight w:val="none"/>
          <w:lang w:eastAsia="zh-CN"/>
        </w:rPr>
      </w:pPr>
      <w:bookmarkStart w:id="0" w:name="OLE_LINK1"/>
      <w:bookmarkStart w:id="1" w:name="OLE_LINK9"/>
      <w:bookmarkStart w:id="2" w:name="OLE_LINK5"/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今年以来，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在市委、市政府的坚强领导下，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河西街道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以习近平新时代中国特色社会主义思想为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指导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，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全面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贯彻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落实</w:t>
      </w:r>
      <w:commentRangeStart w:id="0"/>
      <w:r>
        <w:rPr>
          <w:rFonts w:hint="eastAsia" w:ascii="仿宋_GB2312" w:hAnsi="仿宋_GB2312" w:eastAsia="仿宋_GB2312" w:cs="仿宋_GB2312"/>
          <w:color w:val="auto"/>
          <w:highlight w:val="none"/>
        </w:rPr>
        <w:t>党的二十大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二十届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二中、三中、四中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全会精神</w:t>
      </w:r>
      <w:commentRangeEnd w:id="0"/>
      <w:r>
        <w:rPr>
          <w:color w:val="auto"/>
          <w:highlight w:val="none"/>
        </w:rPr>
        <w:commentReference w:id="0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，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紧扣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“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百千万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工程”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部署要求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团结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带领广大干部群众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聚焦民生服务、乡村振兴、平安法治、廉洁建设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等重点领域，攻坚克难、真抓实干，推动各项工作取得新进展，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实现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经济社会稳步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健康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发展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。</w:t>
      </w:r>
      <w:bookmarkEnd w:id="0"/>
    </w:p>
    <w:p w14:paraId="5B9CF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工作回顾</w:t>
      </w:r>
    </w:p>
    <w:p w14:paraId="125A7B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bookmarkStart w:id="3" w:name="OLE_LINK4"/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党建引领强本固基，队伍作风持续优化</w:t>
      </w:r>
    </w:p>
    <w:p w14:paraId="1E30F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FCFCFC"/>
          <w:lang w:val="en-US" w:eastAsia="zh-CN"/>
        </w:rPr>
      </w:pPr>
      <w:bookmarkStart w:id="4" w:name="OLE_LINK7"/>
      <w:r>
        <w:rPr>
          <w:rFonts w:hint="eastAsia" w:ascii="仿宋_GB2312" w:hAnsi="仿宋_GB2312" w:cs="仿宋_GB2312"/>
          <w:b w:val="0"/>
          <w:bCs w:val="0"/>
          <w:color w:val="auto"/>
          <w:highlight w:val="none"/>
          <w:lang w:eastAsia="zh-CN"/>
        </w:rPr>
        <w:t>以“强作风、树新风、促发展”为导向，持续推动党建与队伍建设深度融合。</w:t>
      </w:r>
      <w:r>
        <w:rPr>
          <w:rFonts w:hint="eastAsia" w:ascii="仿宋_GB2312" w:hAnsi="仿宋_GB2312" w:cs="仿宋_GB2312"/>
          <w:b/>
          <w:bCs/>
          <w:color w:val="auto"/>
          <w:highlight w:val="none"/>
          <w:lang w:eastAsia="zh-CN"/>
        </w:rPr>
        <w:t>一是组织建设提质增效。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顺利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完成13个村（社区）党组织换届，实现“年龄降、学历升”目标。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推进党建融合发展，牵头辖区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24家非公企业、3家社会组织成立联合党支部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，不断扩大党组织覆盖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。严格规范党员发展程序，圆满完成党员发展计划。</w:t>
      </w:r>
      <w:r>
        <w:rPr>
          <w:rFonts w:hint="eastAsia" w:ascii="仿宋_GB2312" w:hAnsi="仿宋_GB2312" w:cs="仿宋_GB2312"/>
          <w:b/>
          <w:bCs/>
          <w:color w:val="auto"/>
          <w:highlight w:val="none"/>
          <w:lang w:eastAsia="zh-CN"/>
        </w:rPr>
        <w:t>二是队伍作风持续向好。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坚持制度约束与思想教育双管齐下，制定并严格执行《上下班考勤管理制度》《中心工作执行效率制度》及《驻村干部管理细则》等一系列管理制度，从严规范干部履职行为。深入开展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党纪学习教育，组织观看警示教育片、召开以案促改警示会等32场次，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推动形成主动担当、争先创优的良好风气。</w:t>
      </w:r>
      <w:r>
        <w:rPr>
          <w:rFonts w:hint="eastAsia" w:ascii="仿宋_GB2312" w:hAnsi="仿宋_GB2312" w:cs="仿宋_GB2312"/>
          <w:b/>
          <w:bCs/>
          <w:color w:val="auto"/>
          <w:highlight w:val="none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党建赋能</w:t>
      </w:r>
      <w:r>
        <w:rPr>
          <w:rFonts w:hint="eastAsia" w:ascii="仿宋_GB2312" w:hAnsi="仿宋_GB2312" w:cs="仿宋_GB2312"/>
          <w:b/>
          <w:bCs/>
          <w:color w:val="auto"/>
          <w:highlight w:val="none"/>
          <w:lang w:eastAsia="zh-CN"/>
        </w:rPr>
        <w:t>治理增效。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坚持和发展新时代“枫桥经验”，深入开展“入户联心”活动，推动治理服务下沉。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全年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组织党员干部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全覆盖走访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村民6831户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在基孔肯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雅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热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疫情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防控、台风防御等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急难险重任务中，组建党员攻坚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小分队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开展志愿服务150余人次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以“干部多跑路”换“群众少跑腿”。</w:t>
      </w:r>
      <w:bookmarkEnd w:id="3"/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 xml:space="preserve"> </w:t>
      </w:r>
    </w:p>
    <w:bookmarkEnd w:id="4"/>
    <w:p w14:paraId="65EC8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二、经济运行平稳健康，发展基础持续稳固</w:t>
      </w:r>
    </w:p>
    <w:p w14:paraId="3735F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highlight w:val="none"/>
          <w:lang w:eastAsia="zh-CN"/>
        </w:rPr>
      </w:pPr>
      <w:commentRangeStart w:id="1"/>
      <w:r>
        <w:rPr>
          <w:rFonts w:hint="eastAsia" w:ascii="仿宋_GB2312" w:hAnsi="宋体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年主要经济指标稳中有进，</w:t>
      </w:r>
      <w:r>
        <w:rPr>
          <w:rFonts w:hint="eastAsia" w:ascii="仿宋_GB2312" w:hAnsi="宋体"/>
          <w:color w:val="auto"/>
          <w:sz w:val="32"/>
          <w:szCs w:val="32"/>
          <w:highlight w:val="none"/>
          <w:lang w:eastAsia="zh-CN"/>
        </w:rPr>
        <w:t>截至</w:t>
      </w:r>
      <w:r>
        <w:rPr>
          <w:rFonts w:hint="eastAsia" w:ascii="仿宋_GB2312" w:hAnsi="宋体"/>
          <w:color w:val="auto"/>
          <w:sz w:val="32"/>
          <w:szCs w:val="32"/>
          <w:highlight w:val="none"/>
          <w:lang w:val="en-US" w:eastAsia="zh-CN"/>
        </w:rPr>
        <w:t>11月，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实现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规上工业总产值</w:t>
      </w:r>
      <w:r>
        <w:rPr>
          <w:rFonts w:hint="eastAsia" w:ascii="仿宋_GB2312" w:hAnsi="宋体"/>
          <w:color w:val="auto"/>
          <w:sz w:val="32"/>
          <w:szCs w:val="32"/>
          <w:highlight w:val="none"/>
          <w:lang w:val="en-US" w:eastAsia="zh-CN"/>
        </w:rPr>
        <w:t>6204.3万元</w:t>
      </w:r>
      <w:r>
        <w:rPr>
          <w:rFonts w:hint="eastAsia" w:ascii="仿宋_GB2312" w:hAnsi="宋体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限上商贸企业销售额（营业额）</w:t>
      </w:r>
      <w:r>
        <w:rPr>
          <w:rFonts w:hint="eastAsia" w:ascii="仿宋_GB2312" w:hAnsi="宋体"/>
          <w:color w:val="auto"/>
          <w:sz w:val="32"/>
          <w:szCs w:val="32"/>
          <w:highlight w:val="none"/>
          <w:lang w:val="en-US" w:eastAsia="zh-CN"/>
        </w:rPr>
        <w:t>8534.6万元。前三季度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农林牧渔业总产值</w:t>
      </w:r>
      <w:r>
        <w:rPr>
          <w:rFonts w:hint="eastAsia" w:ascii="仿宋_GB2312" w:hAnsi="宋体"/>
          <w:color w:val="auto"/>
          <w:sz w:val="32"/>
          <w:szCs w:val="32"/>
          <w:highlight w:val="none"/>
          <w:lang w:val="en-US" w:eastAsia="zh-CN"/>
        </w:rPr>
        <w:t>24294.9万元，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固定资产投资</w:t>
      </w:r>
      <w:r>
        <w:rPr>
          <w:rFonts w:hint="eastAsia" w:ascii="仿宋_GB2312" w:hAnsi="宋体"/>
          <w:color w:val="auto"/>
          <w:sz w:val="32"/>
          <w:szCs w:val="32"/>
          <w:highlight w:val="none"/>
          <w:lang w:val="en-US" w:eastAsia="zh-CN"/>
        </w:rPr>
        <w:t>27795万元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。经济运行保持在合理区间，发展质量效益稳步提升。</w:t>
      </w:r>
      <w:commentRangeEnd w:id="1"/>
      <w:r>
        <w:rPr>
          <w:color w:val="auto"/>
          <w:highlight w:val="none"/>
        </w:rPr>
        <w:commentReference w:id="1"/>
      </w:r>
    </w:p>
    <w:p w14:paraId="5A145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三、产业升级步伐加快，现代产业体系逐步起步</w:t>
      </w:r>
    </w:p>
    <w:p w14:paraId="6F880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黑体" w:hAnsi="黑体" w:eastAsia="黑体" w:cs="黑体"/>
          <w:color w:val="auto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eastAsia="zh-CN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培育发展新动能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推动农业、工业、文旅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eastAsia="zh-CN"/>
        </w:rPr>
        <w:t>产业协同发展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highlight w:val="none"/>
        </w:rPr>
        <w:t>特色农业方面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，黄牛养殖、生猪规模化养殖等传统产业持续壮大，“清云山茶”“石山甘薯”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eastAsia="zh-CN"/>
        </w:rPr>
        <w:t>已申报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绿色食品认证申报，夏陇村专业合作社与广东农产品交易中心签订直供协议，实现“农产品”向“优质商品”转型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highlight w:val="none"/>
        </w:rPr>
        <w:t>工业经济方面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，路华电子完成锂离子电池生产线技术改造，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eastAsia="zh-CN"/>
        </w:rPr>
        <w:t>今年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产值达4000万元，永盛工艺品积极拓展跨境电商渠道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成功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培育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培育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长信加油站、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河西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加油站、久鼎盛建材、华辉滨江花城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4家“四上”企业，工业发展的后劲不断增强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highlight w:val="none"/>
        </w:rPr>
        <w:t>农文旅融合方面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通过盘活香校村闲置荒地打造“西岸里”网红打卡点，为村集体年均增收超6万元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“采茶体验—古寺观光”特色旅游线路也在加紧规划，逐步形成“农业+文旅”的融合发展模式。</w:t>
      </w:r>
    </w:p>
    <w:p w14:paraId="76AB8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四、民生保障坚实有力，幸福指数稳步攀升</w:t>
      </w:r>
    </w:p>
    <w:p w14:paraId="14863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bookmarkStart w:id="5" w:name="OLE_LINK8"/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始终坚持以人民为中心，全力兜牢民生底线。</w:t>
      </w:r>
      <w:r>
        <w:rPr>
          <w:rFonts w:hint="eastAsia" w:ascii="仿宋_GB2312" w:hAnsi="仿宋_GB2312" w:cs="仿宋_GB2312"/>
          <w:b/>
          <w:bCs/>
          <w:color w:val="auto"/>
          <w:highlight w:val="none"/>
          <w:lang w:eastAsia="zh-CN"/>
        </w:rPr>
        <w:t>社会保障方面，</w:t>
      </w:r>
      <w:r>
        <w:rPr>
          <w:rFonts w:hint="eastAsia" w:ascii="仿宋_GB2312" w:hAnsi="仿宋_GB2312" w:cs="仿宋_GB2312"/>
          <w:b w:val="0"/>
          <w:bCs w:val="0"/>
          <w:color w:val="auto"/>
          <w:highlight w:val="none"/>
          <w:lang w:eastAsia="zh-CN"/>
        </w:rPr>
        <w:t>截至</w:t>
      </w:r>
      <w:r>
        <w:rPr>
          <w:rFonts w:hint="eastAsia" w:ascii="仿宋_GB2312" w:hAnsi="仿宋_GB2312" w:cs="仿宋_GB2312"/>
          <w:b w:val="0"/>
          <w:bCs w:val="0"/>
          <w:color w:val="auto"/>
          <w:highlight w:val="none"/>
          <w:lang w:val="en-US" w:eastAsia="zh-CN"/>
        </w:rPr>
        <w:t>12月31日，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城乡居民医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疗保险参保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30014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城乡居民养老保险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参保12806人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基本实现“应保尽保”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。</w:t>
      </w:r>
      <w:r>
        <w:rPr>
          <w:rFonts w:hint="eastAsia" w:ascii="仿宋_GB2312" w:hAnsi="仿宋_GB2312" w:cs="仿宋_GB2312"/>
          <w:b/>
          <w:bCs/>
          <w:color w:val="auto"/>
          <w:highlight w:val="none"/>
          <w:lang w:eastAsia="zh-CN"/>
        </w:rPr>
        <w:t>社会救助方面，</w:t>
      </w:r>
      <w:r>
        <w:rPr>
          <w:rFonts w:hint="eastAsia" w:ascii="仿宋_GB2312" w:hAnsi="仿宋_GB2312" w:cs="仿宋_GB2312"/>
          <w:b w:val="0"/>
          <w:bCs w:val="0"/>
          <w:color w:val="auto"/>
          <w:highlight w:val="none"/>
          <w:lang w:eastAsia="zh-CN"/>
        </w:rPr>
        <w:t>精准落实临时救助政策，累计救助困难群众74名，发放救助金17.8万元。</w:t>
      </w:r>
      <w:r>
        <w:rPr>
          <w:rFonts w:hint="eastAsia" w:ascii="仿宋_GB2312" w:hAnsi="仿宋_GB2312" w:cs="仿宋_GB2312"/>
          <w:b/>
          <w:bCs/>
          <w:color w:val="auto"/>
          <w:highlight w:val="none"/>
          <w:lang w:eastAsia="zh-CN"/>
        </w:rPr>
        <w:t>“一老一小”服务方面，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3个居家养老服务中心常态化运营，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全年开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展助老活动48场，服务老人1200余人次。夏陇幸福长者配餐点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持续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为60岁以上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困难群体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提供助餐服务。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助推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教育事业发展，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推动成立街道教育促进会，募集善款506.8万元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计生服务</w:t>
      </w:r>
      <w:r>
        <w:rPr>
          <w:rFonts w:hint="eastAsia" w:ascii="仿宋_GB2312" w:hAnsi="仿宋_GB2312" w:cs="仿宋_GB2312"/>
          <w:b/>
          <w:bCs/>
          <w:color w:val="auto"/>
          <w:highlight w:val="none"/>
          <w:lang w:eastAsia="zh-CN"/>
        </w:rPr>
        <w:t>方面，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全面宣传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落实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三孩生育政策，推行生育登记“零跑动”服务，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完成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育儿补贴审核1891份，群众满意度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超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95%。</w:t>
      </w:r>
    </w:p>
    <w:bookmarkEnd w:id="5"/>
    <w:p w14:paraId="76405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五、“百千万工程”深入实施，镇域风貌焕发新颜</w:t>
      </w:r>
    </w:p>
    <w:p w14:paraId="276CD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以“百千万工程”为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抓手，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eastAsia="zh-CN"/>
        </w:rPr>
        <w:t>统筹推进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城乡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eastAsia="zh-CN"/>
        </w:rPr>
        <w:t>融合发展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。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重点项目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加快推进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河西人居环境整治项目、中铁助力美丽圩镇“七个一”提档升级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垃圾中转站、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val="en-US" w:eastAsia="zh-CN"/>
        </w:rPr>
        <w:t>镇级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污水管网铺设、农村生活污水治理和河西陆城肉联厂等建设项目均</w:t>
      </w:r>
      <w:r>
        <w:rPr>
          <w:rFonts w:hint="eastAsia" w:ascii="仿宋_GB2312" w:hAnsi="仿宋_GB2312" w:cs="仿宋_GB2312"/>
          <w:color w:val="auto"/>
          <w:sz w:val="32"/>
          <w:szCs w:val="40"/>
          <w:highlight w:val="none"/>
          <w:lang w:val="en-US" w:eastAsia="zh-CN"/>
        </w:rPr>
        <w:t>有条不紊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推进。</w:t>
      </w:r>
      <w:r>
        <w:rPr>
          <w:rFonts w:hint="eastAsia" w:ascii="仿宋_GB2312" w:hAnsi="仿宋_GB2312" w:cs="仿宋_GB2312"/>
          <w:b/>
          <w:bCs/>
          <w:color w:val="auto"/>
          <w:highlight w:val="none"/>
          <w:lang w:eastAsia="zh-CN"/>
        </w:rPr>
        <w:t>二是人居环境持续优化。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国道324线两侧风貌提升工程有序推进，完成117间房屋外立面改造、118栋“平改坡”，门户形象显著提升。聚焦国道324线河西段、湖清—湖硫公路等主次干道，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全域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开展人居环境暨“六乱”整治行动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，累计清运垃圾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568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吨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清理违规摊点148处，拆除违章建筑22处、阳光棚171个，规范占道经营764起，整改私拉乱接线路139处。实施324国道沿线5.4公里“三线”整治，完成强电上墙和通信管网铺设，打造500米高标准示范段。</w:t>
      </w:r>
      <w:r>
        <w:rPr>
          <w:rFonts w:hint="eastAsia" w:ascii="仿宋_GB2312" w:hAnsi="仿宋_GB2312" w:cs="仿宋_GB2312"/>
          <w:b/>
          <w:bCs/>
          <w:color w:val="auto"/>
          <w:highlight w:val="none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生态建设持续深化。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认真践行生态优先、绿色发展理念，不断提升生态文明建设水平。全面落实“河长制”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扎实开展河湖“清四乱”专项行动，河湖长制全面见效。全域开展绿化美化行动，</w:t>
      </w:r>
      <w:r>
        <w:rPr>
          <w:rFonts w:hint="eastAsia" w:ascii="仿宋_GB2312" w:hAnsi="宋体"/>
          <w:color w:val="auto"/>
          <w:sz w:val="32"/>
          <w:szCs w:val="32"/>
          <w:highlight w:val="none"/>
          <w:lang w:eastAsia="zh-CN"/>
        </w:rPr>
        <w:t>今年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各村（社区）共募得村庄绿化美化资金51.44万元，认捐1200株树，折价85万元，合计总募捐资金达136.44万元。</w:t>
      </w:r>
    </w:p>
    <w:p w14:paraId="257E07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highlight w:val="none"/>
        </w:rPr>
      </w:pPr>
      <w:r>
        <w:rPr>
          <w:rFonts w:hint="eastAsia" w:ascii="楷体" w:hAnsi="楷体" w:eastAsia="楷体" w:cs="楷体"/>
          <w:color w:val="auto"/>
          <w:highlight w:val="none"/>
          <w:lang w:eastAsia="zh-CN"/>
        </w:rPr>
        <w:t>六、</w:t>
      </w:r>
      <w:bookmarkStart w:id="6" w:name="OLE_LINK2"/>
      <w:r>
        <w:rPr>
          <w:rFonts w:hint="eastAsia" w:ascii="楷体" w:hAnsi="楷体" w:eastAsia="楷体" w:cs="楷体"/>
          <w:color w:val="auto"/>
          <w:highlight w:val="none"/>
        </w:rPr>
        <w:t>平安法治巩固深化，社会大局和谐稳定</w:t>
      </w:r>
    </w:p>
    <w:p w14:paraId="777F3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color w:val="auto"/>
          <w:highlight w:val="none"/>
          <w:lang w:eastAsia="zh-CN"/>
        </w:rPr>
        <w:t>一是矛盾化解扎实有效。</w:t>
      </w:r>
      <w:r>
        <w:rPr>
          <w:rFonts w:hint="eastAsia" w:ascii="仿宋_GB2312" w:hAnsi="仿宋_GB2312" w:cs="仿宋_GB2312"/>
          <w:b w:val="0"/>
          <w:bCs w:val="0"/>
          <w:color w:val="auto"/>
          <w:highlight w:val="none"/>
          <w:lang w:eastAsia="zh-CN"/>
        </w:rPr>
        <w:t>以街道综治中心为阵地，及时化解矛盾纠纷，妥善处理信访事项。今年来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受理信访事项23宗，按期办结20宗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登记受理矛盾纠纷103宗，化解率100%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未发生进京越级上访、规模集体上访事件。扫黑除恶常态化推进，社会秩序持续向好。</w:t>
      </w:r>
      <w:r>
        <w:rPr>
          <w:rFonts w:hint="eastAsia" w:ascii="仿宋_GB2312" w:hAnsi="仿宋_GB2312" w:cs="仿宋_GB2312"/>
          <w:b/>
          <w:bCs/>
          <w:color w:val="auto"/>
          <w:highlight w:val="none"/>
          <w:lang w:eastAsia="zh-CN"/>
        </w:rPr>
        <w:t>二是网格治理效能提升。</w:t>
      </w:r>
      <w:r>
        <w:rPr>
          <w:rFonts w:hint="eastAsia" w:ascii="仿宋_GB2312" w:hAnsi="仿宋_GB2312" w:cs="仿宋_GB2312"/>
          <w:b w:val="0"/>
          <w:bCs w:val="0"/>
          <w:color w:val="auto"/>
          <w:highlight w:val="none"/>
          <w:lang w:eastAsia="zh-CN"/>
        </w:rPr>
        <w:t>将街道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划分72个网格，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深化禁毒、消防、防灾等管理。禁毒方面，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在册吸毒人员346人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全部落实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“一人一档”。</w:t>
      </w:r>
      <w:r>
        <w:rPr>
          <w:rFonts w:hint="eastAsia" w:ascii="仿宋_GB2312" w:hAnsi="仿宋_GB2312" w:cs="仿宋_GB2312"/>
          <w:b w:val="0"/>
          <w:bCs w:val="0"/>
          <w:color w:val="auto"/>
          <w:highlight w:val="none"/>
          <w:lang w:eastAsia="zh-CN"/>
        </w:rPr>
        <w:t>消防安全方面，对辖区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465家“九小场所”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“八个一”消防安全专项行动，整改隐患1200余项。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灾害防御方面，妥善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处置台风、强降雨等灾害5次，转移群众253人，实现零人员伤亡。森林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防灭火方面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，巡山护林里程20000公里，全年无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发生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特大森林火灾。</w:t>
      </w:r>
      <w:r>
        <w:rPr>
          <w:rFonts w:hint="eastAsia" w:ascii="仿宋_GB2312" w:hAnsi="仿宋_GB2312" w:cs="仿宋_GB2312"/>
          <w:b/>
          <w:bCs/>
          <w:color w:val="auto"/>
          <w:highlight w:val="none"/>
          <w:lang w:eastAsia="zh-CN"/>
        </w:rPr>
        <w:t>三是法治基础稳步夯实。</w:t>
      </w:r>
      <w:r>
        <w:rPr>
          <w:rFonts w:hint="eastAsia" w:ascii="仿宋_GB2312" w:hAnsi="仿宋_GB2312" w:cs="仿宋_GB2312"/>
          <w:b w:val="0"/>
          <w:bCs w:val="0"/>
          <w:color w:val="auto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>3个村（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社区）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实现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法律顾问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全覆盖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，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常态化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开展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普法宣传活动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，群众法治观念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进一步增强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。</w:t>
      </w:r>
    </w:p>
    <w:bookmarkEnd w:id="6"/>
    <w:p w14:paraId="6DEFB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此外，妇女、儿童、老年人、残疾人权益得到保障，民兵武装、教育、民族宗教、意识形态等工作均取得新的进展。</w:t>
      </w:r>
      <w:r>
        <w:rPr>
          <w:rFonts w:hint="eastAsia" w:ascii="仿宋_GB2312" w:hAnsi="宋体"/>
          <w:color w:val="auto"/>
          <w:sz w:val="32"/>
          <w:szCs w:val="32"/>
          <w:highlight w:val="none"/>
          <w:lang w:eastAsia="zh-CN"/>
        </w:rPr>
        <w:t>在肯定成绩的同时，我们也清醒认识到面临的挑战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：一是街道财政基础薄弱、历史欠账较多，可用财力与民生支出、项目建设资金需求的矛盾依然突出。二是重大项目引进不足，产业发展的“龙头”效应尚未形成。三是城乡基础设施和公共服务配套仍有短板，发展环境尚需持续优化。</w:t>
      </w:r>
    </w:p>
    <w:p w14:paraId="0354D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下来工作计划</w:t>
      </w:r>
    </w:p>
    <w:p w14:paraId="2932A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下来，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河西街道将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紧紧围绕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市委、市政府工作部署，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自觉肩负起争当城镇发展建设排头兵的使命担当，以“百千万工程”为统领，以构建“一心一轴一带三片区”镇域发展新格局为主抓手，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奋力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推动街道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各项工作在“十五五”开好局、起好步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。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重点做好以下工作：</w:t>
      </w:r>
    </w:p>
    <w:p w14:paraId="19DB6A73"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聚焦街道格局重塑，打造城乡融合示范。</w:t>
      </w:r>
      <w:r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强化规划引领，以“一心一轴一带三片区”空间布局统领全域发展。一是做强一个圩镇综合服务中心。推进基础设施升级，</w:t>
      </w:r>
      <w:r>
        <w:rPr>
          <w:rFonts w:hint="eastAsia" w:ascii="仿宋_GB2312" w:hAnsi="宋体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完善</w:t>
      </w:r>
      <w:r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G324国道河西段</w:t>
      </w:r>
      <w:r>
        <w:rPr>
          <w:rFonts w:hint="eastAsia" w:ascii="仿宋_GB2312" w:hAnsi="宋体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绿化、停车场等</w:t>
      </w:r>
      <w:r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配套，加快垃圾中转站、污水处理设施，逐步推进燃气管道全覆盖。完成螺河堤坝防洪加固，建立镇域应急物资储备中心。推动公共服务提质，规划建设湖口村农产品冷链物流集散点，</w:t>
      </w:r>
      <w:r>
        <w:rPr>
          <w:rFonts w:hint="eastAsia" w:ascii="仿宋_GB2312" w:hAnsi="宋体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提升镇圩</w:t>
      </w:r>
      <w:r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政务、医疗、教育、养老等</w:t>
      </w:r>
      <w:r>
        <w:rPr>
          <w:rFonts w:hint="eastAsia" w:ascii="仿宋_GB2312" w:hAnsi="宋体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综合</w:t>
      </w:r>
      <w:r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服务</w:t>
      </w:r>
      <w:r>
        <w:rPr>
          <w:rFonts w:hint="eastAsia" w:ascii="仿宋_GB2312" w:hAnsi="宋体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能力</w:t>
      </w:r>
      <w:r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。二是做靓一条国道324城镇发展轴。持续推进河西人居环境整治项目，实施国道324沿线建筑风貌提升、节点打造工程，开展建筑外立面改造、店招优化、“三线下地”、道路“白改黑”等。加快望洋桥美丽河道、新农贸市场、滨江花城圩镇客厅及绿美小公园等节点建设，塑造贯通镇域、功能复合的综合发展走廊。三是做美一条螺河生态休闲带。提升螺河沿线滨水绿道6公里，串联打造汾河村休闲公园、石山古村落遗址、沙滩公园、竹林逸园等景观节点，建设集生态观光、文化体验、休闲游憩于一体的“有趣”生态螺河休闲带。四是做特三大功能片区。打造以清云山定光寺、茶园为核心的山林文化旅游区，发展禅修体验、茶文化研学、生态康养等业态。提升以现有工业基础和毗邻城区优势的水岸城镇发展区，服务好现有规上企业，扶持培育“四上”企业，积极承接主城区产业外溢。打造以特色农业基地和黄牛产业园为基础的生态农业休闲区，做大做强特色品牌，延伸产业链，推动农旅融合。</w:t>
      </w:r>
    </w:p>
    <w:p w14:paraId="5B590589"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深化产业动能培育，强化经济发展优势。</w:t>
      </w:r>
      <w:r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坚持宜农则农、宜工则工、宜游则游，推动一二三产深度融合。推动现代农业提质增效。巩固扩大“一村一品”，推广“龙头企业+合作社+基地+农户”模式，支持黄牛产业园扩建升级，探索“黄牛研学+休闲”模式。促进工业稳步壮大。全力服务好路华电子、永盛花厂现有规上企业，重点推动陆丰环保新型塑料材料生产公司等潜力企业上规升级，积极承接城区产业外溢，精准扶持一批中小微企业成长。深化农文旅融合突破。依托清云山、螺河、石山古村落、黄牛</w:t>
      </w:r>
      <w:bookmarkStart w:id="9" w:name="_GoBack"/>
      <w:bookmarkEnd w:id="9"/>
      <w:r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产业园等资源，科学运营“西岸里夜光生活”等网红节点，加强宣传推介，打造精品线路与消费场景，建设城郊短途旅游目的地。</w:t>
      </w:r>
    </w:p>
    <w:p w14:paraId="09AC9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highlight w:val="none"/>
          <w:lang w:eastAsia="zh-CN"/>
        </w:rPr>
        <w:t>三、深化绿美生态建设，绘就美丽宜居画卷。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系统规划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城乡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绿地网络体系，持续开展“五边”绿化美化品质提升行动。广泛动员群众参与“四旁”植绿增绿。强化对夏陇绿地小公园等“四小园”的常态化精细化管护，营造“推窗见绿、出门见景”的全域绿化美化新风貌，提升生态宜居水平。</w:t>
      </w:r>
    </w:p>
    <w:p w14:paraId="1AFF80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highlight w:val="none"/>
          <w:lang w:eastAsia="zh-CN"/>
        </w:rPr>
        <w:t>四、持续改善人居环境，建设宜居宜业和美乡村。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持续推进农村公路建设、养护与提档升级。巩固深化农村“厕所革命”成果，建立健全农村公厕长效管护机制。强化圩镇管理，落实常态化责任，多措并举整治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“六乱”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问题，提升圩镇秩序与品质。以国道324线为主线，13个村（社区）为支点，“一点多线”纵深推进人居环境整治，探索“积分制”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长效管理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机制，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实现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人居环境从“一时美”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到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“持久美”。</w:t>
      </w:r>
    </w:p>
    <w:p w14:paraId="7CDDD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highlight w:val="none"/>
          <w:lang w:eastAsia="zh-CN"/>
        </w:rPr>
        <w:t>五、</w:t>
      </w:r>
      <w:bookmarkStart w:id="7" w:name="OLE_LINK6"/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不断增进民生福祉，提高社会治理效能。</w:t>
      </w:r>
      <w:bookmarkEnd w:id="7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兜牢社会保障底线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精准落实社会救助政策，加强对低保、特困、残疾人、困境儿童等特殊群体的关爱帮扶，确保应保尽保、应救尽救。优化公共服务供给，深化移风易俗。依托新时代文明实践所（站），常态化开展丰富多彩的文明实践活动，不断满足群众精神文化需求。深化平安法治建设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健全矛盾纠纷预防化解机制，充分发挥“四人小组”和网格员前哨作用，提升排查调处效能。常态化推进扫黑除恶、反电诈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、安全生产和消防安全等整治行动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，全力维护社会大局和谐稳定。</w:t>
      </w:r>
    </w:p>
    <w:p w14:paraId="24106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highlight w:val="none"/>
          <w:lang w:eastAsia="zh-CN"/>
        </w:rPr>
        <w:t>六、</w:t>
      </w:r>
      <w:bookmarkStart w:id="8" w:name="OLE_LINK3"/>
      <w:r>
        <w:rPr>
          <w:rFonts w:hint="eastAsia" w:ascii="楷体" w:hAnsi="楷体" w:eastAsia="楷体" w:cs="楷体"/>
          <w:b w:val="0"/>
          <w:bCs w:val="0"/>
          <w:color w:val="auto"/>
          <w:highlight w:val="none"/>
          <w:lang w:eastAsia="zh-CN"/>
        </w:rPr>
        <w:t>全面加强党的建设，营造清正政治生态。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深化党建引领，持续推进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党支部标准化规范化建设，推动党建工作与中心任务同频共振、深度融合。持之以恒正风肃纪，紧盯“四风”新动向，在重要节点开展明察暗访，对苗头性倾向性问题早提醒早纠正。深化廉洁文化建设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常态化开展党纪学习和警示教育，通过案例剖析、廉政党课等形式实现全覆盖，不断增强党员干部的纪律意识、规矩意识，夯实拒腐防变的思想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防线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。</w:t>
      </w:r>
      <w:bookmarkEnd w:id="8"/>
    </w:p>
    <w:bookmarkEnd w:id="1"/>
    <w:p w14:paraId="683F4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20F56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5D506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陆丰市河西街道办事处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</w:t>
      </w:r>
    </w:p>
    <w:p w14:paraId="4C2DA2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p w14:paraId="1A3C0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0A43F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bookmarkEnd w:id="2"/>
    <w:p w14:paraId="5E590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PS_1745118360" w:date="2026-01-07T23:05:59Z" w:initials="">
    <w:p w14:paraId="0B2E7E24">
      <w:pPr>
        <w:pStyle w:val="3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政治表述，要准确，不能出错。</w:t>
      </w:r>
    </w:p>
  </w:comment>
  <w:comment w:id="1" w:author="WPS_1745118360" w:date="2026-01-07T23:29:31Z" w:initials="">
    <w:p w14:paraId="72ECE619">
      <w:pPr>
        <w:pStyle w:val="3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年度工作报告最重要的就是经济指标。不能缺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B2E7E24" w15:done="0"/>
  <w15:commentEx w15:paraId="72ECE61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A7A6C6"/>
    <w:multiLevelType w:val="singleLevel"/>
    <w:tmpl w:val="64A7A6C6"/>
    <w:lvl w:ilvl="0" w:tentative="0">
      <w:start w:val="1"/>
      <w:numFmt w:val="chineseCounting"/>
      <w:suff w:val="nothing"/>
      <w:lvlText w:val="%1、"/>
      <w:lvlJc w:val="left"/>
      <w:rPr>
        <w:rFonts w:hint="eastAsia" w:ascii="楷体" w:hAnsi="楷体" w:eastAsia="楷体" w:cs="楷体"/>
      </w:rPr>
    </w:lvl>
  </w:abstractNum>
  <w:abstractNum w:abstractNumId="1">
    <w:nsid w:val="72121E54"/>
    <w:multiLevelType w:val="singleLevel"/>
    <w:tmpl w:val="72121E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745118360">
    <w15:presenceInfo w15:providerId="WPS Office" w15:userId="11426427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NjhhNjRhN2U2NGM1YjY4MjY5MzM0ZWU1ZDY3ZTkifQ=="/>
  </w:docVars>
  <w:rsids>
    <w:rsidRoot w:val="43B65F0A"/>
    <w:rsid w:val="01A17AA8"/>
    <w:rsid w:val="021F298B"/>
    <w:rsid w:val="02E334E5"/>
    <w:rsid w:val="07805E2D"/>
    <w:rsid w:val="0B446AEB"/>
    <w:rsid w:val="0BE678A2"/>
    <w:rsid w:val="0C013C14"/>
    <w:rsid w:val="0D7D5862"/>
    <w:rsid w:val="0E533824"/>
    <w:rsid w:val="10901D27"/>
    <w:rsid w:val="11106E98"/>
    <w:rsid w:val="15027675"/>
    <w:rsid w:val="15237771"/>
    <w:rsid w:val="16037773"/>
    <w:rsid w:val="1AEC6857"/>
    <w:rsid w:val="1B317B2B"/>
    <w:rsid w:val="1BA52F53"/>
    <w:rsid w:val="1BCF20A0"/>
    <w:rsid w:val="1BFC2562"/>
    <w:rsid w:val="1C3F6B63"/>
    <w:rsid w:val="1DF81083"/>
    <w:rsid w:val="1E3812B5"/>
    <w:rsid w:val="22A076C9"/>
    <w:rsid w:val="24444377"/>
    <w:rsid w:val="26B7240F"/>
    <w:rsid w:val="2B3A42EF"/>
    <w:rsid w:val="2C1E6F08"/>
    <w:rsid w:val="2C9D156B"/>
    <w:rsid w:val="2E5518CD"/>
    <w:rsid w:val="2E6D49DE"/>
    <w:rsid w:val="2F3715DD"/>
    <w:rsid w:val="309707F1"/>
    <w:rsid w:val="317B29B7"/>
    <w:rsid w:val="32775E3E"/>
    <w:rsid w:val="33F86629"/>
    <w:rsid w:val="348A28FA"/>
    <w:rsid w:val="354A79D1"/>
    <w:rsid w:val="362A6219"/>
    <w:rsid w:val="38606463"/>
    <w:rsid w:val="3ACB6AB6"/>
    <w:rsid w:val="3BEE1D90"/>
    <w:rsid w:val="3D8C5E2C"/>
    <w:rsid w:val="3DBB413B"/>
    <w:rsid w:val="3E5C76CC"/>
    <w:rsid w:val="3F9C1413"/>
    <w:rsid w:val="405012BE"/>
    <w:rsid w:val="43B65F0A"/>
    <w:rsid w:val="451D082D"/>
    <w:rsid w:val="45B7168C"/>
    <w:rsid w:val="469353D3"/>
    <w:rsid w:val="46F5246C"/>
    <w:rsid w:val="47B06101"/>
    <w:rsid w:val="489B0AB7"/>
    <w:rsid w:val="4A1E1CDA"/>
    <w:rsid w:val="4A477855"/>
    <w:rsid w:val="4B241572"/>
    <w:rsid w:val="4BD64A17"/>
    <w:rsid w:val="4CBD4B5D"/>
    <w:rsid w:val="4E323FA5"/>
    <w:rsid w:val="4F371833"/>
    <w:rsid w:val="4F4B6A0C"/>
    <w:rsid w:val="50D17AA6"/>
    <w:rsid w:val="52056C2C"/>
    <w:rsid w:val="52072E31"/>
    <w:rsid w:val="53A9454A"/>
    <w:rsid w:val="53C04D92"/>
    <w:rsid w:val="542D21E3"/>
    <w:rsid w:val="55CE02D0"/>
    <w:rsid w:val="56017391"/>
    <w:rsid w:val="57925A39"/>
    <w:rsid w:val="584F3194"/>
    <w:rsid w:val="596908AC"/>
    <w:rsid w:val="5A854792"/>
    <w:rsid w:val="5E9F5687"/>
    <w:rsid w:val="5F0402DB"/>
    <w:rsid w:val="5FF351F8"/>
    <w:rsid w:val="60A72BC0"/>
    <w:rsid w:val="60B30F76"/>
    <w:rsid w:val="63C46DE2"/>
    <w:rsid w:val="64715BAE"/>
    <w:rsid w:val="657868AD"/>
    <w:rsid w:val="662270C4"/>
    <w:rsid w:val="6875280B"/>
    <w:rsid w:val="68E41190"/>
    <w:rsid w:val="6B625A72"/>
    <w:rsid w:val="6CF05300"/>
    <w:rsid w:val="72237647"/>
    <w:rsid w:val="73CD6F4E"/>
    <w:rsid w:val="73F17C64"/>
    <w:rsid w:val="746042B0"/>
    <w:rsid w:val="77643D3D"/>
    <w:rsid w:val="77C409E2"/>
    <w:rsid w:val="785C7FC9"/>
    <w:rsid w:val="799408F0"/>
    <w:rsid w:val="79BA4057"/>
    <w:rsid w:val="7C4E7783"/>
    <w:rsid w:val="7E58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Text"/>
    <w:basedOn w:val="1"/>
    <w:qFormat/>
    <w:uiPriority w:val="0"/>
    <w:pPr>
      <w:widowControl/>
      <w:textAlignment w:val="baseline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4115</Words>
  <Characters>4262</Characters>
  <Lines>0</Lines>
  <Paragraphs>0</Paragraphs>
  <TotalTime>10</TotalTime>
  <ScaleCrop>false</ScaleCrop>
  <LinksUpToDate>false</LinksUpToDate>
  <CharactersWithSpaces>4277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2026-01-05T08:46:00Z</dcterms:created>
  <dc:creator>蔡咏钊</dc:creator>
  <cp:lastModifiedBy>WPS_1745118360</cp:lastModifiedBy>
  <cp:lastPrinted>2026-01-08T10:08:00Z</cp:lastPrinted>
  <dcterms:modified xsi:type="dcterms:W3CDTF">2026-01-13T13:36:12Z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BDCD0C5031054E9E91D302247244B20A_13</vt:lpwstr>
  </property>
  <property fmtid="{D5CDD505-2E9C-101B-9397-08002B2CF9AE}" pid="4" name="KSOTemplateDocerSaveRecord">
    <vt:lpwstr>eyJoZGlkIjoiYjQxZDAyOTQ1ZTg3NjJmOGVjOWRiYzhiNjZmNDE0OTciLCJ1c2VySWQiOiIzMjc0MTQ3NDEifQ==</vt:lpwstr>
  </property>
</Properties>
</file>