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bookmarkStart w:id="2" w:name="_GoBack"/>
      <w:r>
        <w:rPr>
          <w:rFonts w:hint="eastAsia" w:ascii="宋体" w:hAnsi="宋体"/>
          <w:b/>
          <w:sz w:val="44"/>
          <w:szCs w:val="44"/>
        </w:rPr>
        <w:t>公司登记（备案）申请书</w:t>
      </w:r>
    </w:p>
    <w:bookmarkEnd w:id="2"/>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ascii="宋体"/>
                <w:szCs w:val="21"/>
              </w:rPr>
            </w:pP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8"/>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rPr>
            </w:pP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rPr>
            </w:pP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F241E"/>
    <w:rsid w:val="23FF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2022-04-14T00:58:00Z</dcterms:created>
  <dc:creator>xtg</dc:creator>
  <cp:lastModifiedBy>xtg</cp:lastModifiedBy>
  <dcterms:modified xsi:type="dcterms:W3CDTF">2022-04-14T01:02:11Z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