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F3E42">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bookmarkStart w:id="303" w:name="_GoBack"/>
      <w:bookmarkEnd w:id="303"/>
    </w:p>
    <w:p w14:paraId="473457F3">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36434561">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1365F606">
      <w:pPr>
        <w:pStyle w:val="2"/>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t>陆丰市国民经济和社会发展第十四个五年</w:t>
      </w:r>
    </w:p>
    <w:p w14:paraId="51774034">
      <w:pPr>
        <w:pStyle w:val="2"/>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t>规划和二〇三五年远景目标纲要</w:t>
      </w:r>
    </w:p>
    <w:p w14:paraId="17E7AE7C">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7232F763">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9D29C47">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8E32285">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439102D">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57C3695E">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2F1FBA90">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6889D067">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6F0C195F">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4B971905">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4267BF87">
      <w:pPr>
        <w:pStyle w:val="2"/>
        <w:ind w:left="0" w:leftChars="0" w:firstLine="0" w:firstLineChars="0"/>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11473DF8">
      <w:pPr>
        <w:pStyle w:val="2"/>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08EB3BC3">
      <w:pPr>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1FCC3AD0">
      <w:pPr>
        <w:pStyle w:val="2"/>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66FAF8BA">
      <w:pPr>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520F31F5">
      <w:pPr>
        <w:pStyle w:val="2"/>
      </w:pPr>
    </w:p>
    <w:p w14:paraId="31576BF6"/>
    <w:sdt>
      <w:sdtPr>
        <w:rPr>
          <w:rFonts w:hint="eastAsia" w:ascii="黑体" w:hAnsi="黑体" w:eastAsia="黑体" w:cs="黑体"/>
          <w:b/>
          <w:bCs/>
          <w:color w:val="000000" w:themeColor="text1"/>
          <w:sz w:val="32"/>
          <w:szCs w:val="32"/>
          <w:highlight w:val="none"/>
          <w:u w:val="none" w:color="auto"/>
          <w14:textFill>
            <w14:solidFill>
              <w14:schemeClr w14:val="tx1"/>
            </w14:solidFill>
          </w14:textFill>
        </w:rPr>
        <w:id w:val="147453286"/>
        <w15:color w:val="DBDBDB"/>
        <w:docPartObj>
          <w:docPartGallery w:val="Table of Contents"/>
          <w:docPartUnique/>
        </w:docPartObj>
      </w:sdtPr>
      <w:sdtEndPr>
        <w:rPr>
          <w:rFonts w:hint="eastAsia" w:ascii="宋体" w:hAnsi="宋体" w:eastAsia="宋体" w:cs="Times New Roman"/>
          <w:b w:val="0"/>
          <w:bCs w:val="0"/>
          <w:color w:val="000000" w:themeColor="text1"/>
          <w:sz w:val="21"/>
          <w:szCs w:val="24"/>
          <w:highlight w:val="none"/>
          <w:u w:val="none" w:color="auto"/>
          <w14:textFill>
            <w14:solidFill>
              <w14:schemeClr w14:val="tx1"/>
            </w14:solidFill>
          </w14:textFill>
        </w:rPr>
      </w:sdtEndPr>
      <w:sdtContent>
        <w:p w14:paraId="59A684AF">
          <w:pPr>
            <w:jc w:val="center"/>
            <w:rPr>
              <w:rFonts w:hint="eastAsia" w:ascii="黑体" w:hAnsi="黑体" w:eastAsia="黑体" w:cs="Times New Roman"/>
              <w:color w:val="000000" w:themeColor="text1"/>
              <w:sz w:val="32"/>
              <w:szCs w:val="32"/>
              <w:highlight w:val="none"/>
              <w14:textFill>
                <w14:solidFill>
                  <w14:schemeClr w14:val="tx1"/>
                </w14:solidFill>
              </w14:textFill>
            </w:rPr>
          </w:pPr>
          <w:r>
            <w:rPr>
              <w:rFonts w:hint="eastAsia" w:ascii="黑体" w:hAnsi="黑体" w:eastAsia="黑体" w:cs="Times New Roman"/>
              <w:color w:val="000000" w:themeColor="text1"/>
              <w:sz w:val="32"/>
              <w:szCs w:val="32"/>
              <w:highlight w:val="none"/>
              <w14:textFill>
                <w14:solidFill>
                  <w14:schemeClr w14:val="tx1"/>
                </w14:solidFill>
              </w14:textFill>
            </w:rPr>
            <w:t>目</w:t>
          </w:r>
          <w:r>
            <w:rPr>
              <w:rFonts w:hint="eastAsia" w:ascii="黑体" w:hAnsi="黑体" w:eastAsia="黑体" w:cs="Times New Roman"/>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Times New Roman"/>
              <w:color w:val="000000" w:themeColor="text1"/>
              <w:sz w:val="32"/>
              <w:szCs w:val="32"/>
              <w:highlight w:val="none"/>
              <w14:textFill>
                <w14:solidFill>
                  <w14:schemeClr w14:val="tx1"/>
                </w14:solidFill>
              </w14:textFill>
            </w:rPr>
            <w:t>录</w:t>
          </w:r>
        </w:p>
        <w:p w14:paraId="5C580030">
          <w:pPr>
            <w:pStyle w:val="20"/>
            <w:tabs>
              <w:tab w:val="right" w:leader="dot" w:pos="8306"/>
              <w:tab w:val="clear" w:pos="8296"/>
            </w:tabs>
          </w:pP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fldChar w:fldCharType="begin"/>
          </w: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instrText xml:space="preserve">TOC \o "1-2" \h \u </w:instrText>
          </w: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fldChar w:fldCharType="separate"/>
          </w:r>
          <w:r>
            <w:rPr>
              <w:rFonts w:ascii="宋体" w:hAnsi="宋体" w:eastAsia="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eastAsia="宋体"/>
              <w:i w:val="0"/>
              <w:caps w:val="0"/>
              <w:spacing w:val="0"/>
              <w:w w:val="100"/>
              <w:szCs w:val="28"/>
              <w:highlight w:val="none"/>
            </w:rPr>
            <w:instrText xml:space="preserve"> HYPERLINK \l _Toc24559 </w:instrText>
          </w:r>
          <w:r>
            <w:rPr>
              <w:rFonts w:ascii="宋体" w:hAnsi="宋体" w:eastAsia="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第一章“十三五”时期发展成就和“十四五”时期发展形势</w:t>
          </w:r>
          <w:r>
            <w:tab/>
          </w:r>
          <w:r>
            <w:fldChar w:fldCharType="begin"/>
          </w:r>
          <w:r>
            <w:instrText xml:space="preserve"> PAGEREF _Toc24559 \h </w:instrText>
          </w:r>
          <w:r>
            <w:fldChar w:fldCharType="separate"/>
          </w:r>
          <w:r>
            <w:t>- 8 -</w:t>
          </w:r>
          <w:r>
            <w:fldChar w:fldCharType="end"/>
          </w:r>
          <w:r>
            <w:rPr>
              <w:rFonts w:ascii="宋体" w:hAnsi="宋体" w:eastAsia="宋体"/>
              <w:i w:val="0"/>
              <w:caps w:val="0"/>
              <w:color w:val="000000" w:themeColor="text1"/>
              <w:spacing w:val="0"/>
              <w:w w:val="100"/>
              <w:szCs w:val="28"/>
              <w:highlight w:val="none"/>
              <w:u w:val="none" w:color="auto"/>
              <w14:textFill>
                <w14:solidFill>
                  <w14:schemeClr w14:val="tx1"/>
                </w14:solidFill>
              </w14:textFill>
            </w:rPr>
            <w:fldChar w:fldCharType="end"/>
          </w:r>
        </w:p>
        <w:p w14:paraId="5088DF1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_Toc29530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“十三五”时期我市发展取得重大成就</w:t>
          </w:r>
          <w:r>
            <w:tab/>
          </w:r>
          <w:r>
            <w:fldChar w:fldCharType="begin"/>
          </w:r>
          <w:r>
            <w:instrText xml:space="preserve"> PAGEREF _Toc29530 \h </w:instrText>
          </w:r>
          <w:r>
            <w:fldChar w:fldCharType="separate"/>
          </w:r>
          <w:r>
            <w:t>- 8 -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9FF712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_Toc25076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“十四五”时期我市面临重大机遇和挑战</w:t>
          </w:r>
          <w:r>
            <w:tab/>
          </w:r>
          <w:r>
            <w:fldChar w:fldCharType="begin"/>
          </w:r>
          <w:r>
            <w:instrText xml:space="preserve"> PAGEREF _Toc25076 \h </w:instrText>
          </w:r>
          <w:r>
            <w:fldChar w:fldCharType="separate"/>
          </w:r>
          <w:r>
            <w:t>- 17 -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CDAE2BD">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_Toc27657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第二章 </w:t>
          </w:r>
          <w:r>
            <w:rPr>
              <w:rFonts w:hint="eastAsia" w:ascii="方正小标宋简体" w:eastAsia="方正小标宋简体" w:cs="仿宋" w:hAnsiTheme="minorEastAsia"/>
              <w:spacing w:val="-12"/>
              <w:szCs w:val="32"/>
              <w:highlight w:val="none"/>
              <w:lang w:val="zh-CN"/>
            </w:rPr>
            <w:t>总体要求</w:t>
          </w:r>
          <w:r>
            <w:tab/>
          </w:r>
          <w:r>
            <w:fldChar w:fldCharType="begin"/>
          </w:r>
          <w:r>
            <w:instrText xml:space="preserve"> PAGEREF _Toc27657 \h </w:instrText>
          </w:r>
          <w:r>
            <w:fldChar w:fldCharType="separate"/>
          </w:r>
          <w:r>
            <w:t>- 21 -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A2ACD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_Toc6863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第一节 </w:t>
          </w:r>
          <w:r>
            <w:rPr>
              <w:rFonts w:hint="eastAsia" w:ascii="黑体" w:hAnsi="黑体" w:eastAsia="黑体" w:cs="仿宋"/>
              <w:szCs w:val="32"/>
              <w:highlight w:val="none"/>
              <w:lang w:val="zh-CN"/>
            </w:rPr>
            <w:t>指导思想</w:t>
          </w:r>
          <w:r>
            <w:tab/>
          </w:r>
          <w:r>
            <w:fldChar w:fldCharType="begin"/>
          </w:r>
          <w:r>
            <w:instrText xml:space="preserve"> PAGEREF _Toc6863 \h </w:instrText>
          </w:r>
          <w:r>
            <w:fldChar w:fldCharType="separate"/>
          </w:r>
          <w:r>
            <w:t>- 21 -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AA9D47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_Toc31583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第二节 </w:t>
          </w:r>
          <w:r>
            <w:rPr>
              <w:rFonts w:hint="eastAsia" w:ascii="黑体" w:hAnsi="黑体" w:eastAsia="黑体" w:cs="仿宋"/>
              <w:szCs w:val="32"/>
              <w:highlight w:val="none"/>
              <w:lang w:val="zh-CN"/>
            </w:rPr>
            <w:t>基本原则</w:t>
          </w:r>
          <w:r>
            <w:tab/>
          </w:r>
          <w:r>
            <w:fldChar w:fldCharType="begin"/>
          </w:r>
          <w:r>
            <w:instrText xml:space="preserve"> PAGEREF _Toc31583 \h </w:instrText>
          </w:r>
          <w:r>
            <w:fldChar w:fldCharType="separate"/>
          </w:r>
          <w:r>
            <w:t>- 22 -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129566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_Toc22325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第三节 </w:t>
          </w:r>
          <w:r>
            <w:rPr>
              <w:rFonts w:hint="eastAsia" w:ascii="黑体" w:hAnsi="黑体" w:eastAsia="黑体" w:cs="仿宋"/>
              <w:szCs w:val="32"/>
              <w:highlight w:val="none"/>
              <w:lang w:val="zh-CN"/>
            </w:rPr>
            <w:t>发展目标</w:t>
          </w:r>
          <w:r>
            <w:tab/>
          </w:r>
          <w:r>
            <w:fldChar w:fldCharType="begin"/>
          </w:r>
          <w:r>
            <w:instrText xml:space="preserve"> PAGEREF _Toc22325 \h </w:instrText>
          </w:r>
          <w:r>
            <w:fldChar w:fldCharType="separate"/>
          </w:r>
          <w:r>
            <w:t>- 24 -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51FEA4F">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_Toc16017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第三章 强化东承西接重要支撑作用，融入新发展格局</w:t>
          </w:r>
          <w:r>
            <w:tab/>
          </w:r>
          <w:r>
            <w:fldChar w:fldCharType="begin"/>
          </w:r>
          <w:r>
            <w:instrText xml:space="preserve"> PAGEREF _Toc16017 \h </w:instrText>
          </w:r>
          <w:r>
            <w:fldChar w:fldCharType="separate"/>
          </w:r>
          <w:r>
            <w:t>- 28 -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B97FA6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_Toc32148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全面接轨深圳</w:t>
          </w:r>
          <w:r>
            <w:tab/>
          </w:r>
          <w:r>
            <w:fldChar w:fldCharType="begin"/>
          </w:r>
          <w:r>
            <w:instrText xml:space="preserve"> PAGEREF _Toc32148 \h </w:instrText>
          </w:r>
          <w:r>
            <w:fldChar w:fldCharType="separate"/>
          </w:r>
          <w:r>
            <w:t>- 29 -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92C1DBC">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_Toc28726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全力融入“双区”</w:t>
          </w:r>
          <w:r>
            <w:tab/>
          </w:r>
          <w:r>
            <w:fldChar w:fldCharType="begin"/>
          </w:r>
          <w:r>
            <w:instrText xml:space="preserve"> PAGEREF _Toc28726 \h </w:instrText>
          </w:r>
          <w:r>
            <w:fldChar w:fldCharType="separate"/>
          </w:r>
          <w:r>
            <w:t>- 32 -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9872C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_Toc7295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积极携手汕潮揭</w:t>
          </w:r>
          <w:r>
            <w:tab/>
          </w:r>
          <w:r>
            <w:fldChar w:fldCharType="begin"/>
          </w:r>
          <w:r>
            <w:instrText xml:space="preserve"> PAGEREF _Toc7295 \h </w:instrText>
          </w:r>
          <w:r>
            <w:fldChar w:fldCharType="separate"/>
          </w:r>
          <w:r>
            <w:t>- 37 -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00E8B4B">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_Toc4489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第四章 深入贯彻创新发展战略，打造高质量发展新引擎</w:t>
          </w:r>
          <w:r>
            <w:tab/>
          </w:r>
          <w:r>
            <w:fldChar w:fldCharType="begin"/>
          </w:r>
          <w:r>
            <w:instrText xml:space="preserve"> PAGEREF _Toc4489 \h </w:instrText>
          </w:r>
          <w:r>
            <w:fldChar w:fldCharType="separate"/>
          </w:r>
          <w:r>
            <w:t>- 39 -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BEB40F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_Toc29040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加快培育创新平台</w:t>
          </w:r>
          <w:r>
            <w:tab/>
          </w:r>
          <w:r>
            <w:fldChar w:fldCharType="begin"/>
          </w:r>
          <w:r>
            <w:instrText xml:space="preserve"> PAGEREF _Toc29040 \h </w:instrText>
          </w:r>
          <w:r>
            <w:fldChar w:fldCharType="separate"/>
          </w:r>
          <w:r>
            <w:t>- 39 -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9973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_Toc20121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提高企业自主创新能力</w:t>
          </w:r>
          <w:r>
            <w:tab/>
          </w:r>
          <w:r>
            <w:fldChar w:fldCharType="begin"/>
          </w:r>
          <w:r>
            <w:instrText xml:space="preserve"> PAGEREF _Toc20121 \h </w:instrText>
          </w:r>
          <w:r>
            <w:fldChar w:fldCharType="separate"/>
          </w:r>
          <w:r>
            <w:t>- 40 -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5B9B0B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_Toc21169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激发人才创新活力</w:t>
          </w:r>
          <w:r>
            <w:tab/>
          </w:r>
          <w:r>
            <w:fldChar w:fldCharType="begin"/>
          </w:r>
          <w:r>
            <w:instrText xml:space="preserve"> PAGEREF _Toc21169 \h </w:instrText>
          </w:r>
          <w:r>
            <w:fldChar w:fldCharType="separate"/>
          </w:r>
          <w:r>
            <w:t>- 40 -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7297F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_Toc32030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健全科技创新机制体制</w:t>
          </w:r>
          <w:r>
            <w:tab/>
          </w:r>
          <w:r>
            <w:fldChar w:fldCharType="begin"/>
          </w:r>
          <w:r>
            <w:instrText xml:space="preserve"> PAGEREF _Toc32030 \h </w:instrText>
          </w:r>
          <w:r>
            <w:fldChar w:fldCharType="separate"/>
          </w:r>
          <w:r>
            <w:t>- 41 -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A8382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_Toc32103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第五章 坚决贯彻新发展理念，加快构建现代产业体系</w:t>
          </w:r>
          <w:r>
            <w:tab/>
          </w:r>
          <w:r>
            <w:fldChar w:fldCharType="begin"/>
          </w:r>
          <w:r>
            <w:instrText xml:space="preserve"> PAGEREF _Toc32103 \h </w:instrText>
          </w:r>
          <w:r>
            <w:fldChar w:fldCharType="separate"/>
          </w:r>
          <w:r>
            <w:t>- 41 -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AF4593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_Toc21196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提升发展先进制造业与战略性新兴产业</w:t>
          </w:r>
          <w:r>
            <w:tab/>
          </w:r>
          <w:r>
            <w:fldChar w:fldCharType="begin"/>
          </w:r>
          <w:r>
            <w:instrText xml:space="preserve"> PAGEREF _Toc21196 \h </w:instrText>
          </w:r>
          <w:r>
            <w:fldChar w:fldCharType="separate"/>
          </w:r>
          <w:r>
            <w:t>- 42 -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DFD9DE">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_Toc4369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提升现代服务业发展水平</w:t>
          </w:r>
          <w:r>
            <w:tab/>
          </w:r>
          <w:r>
            <w:fldChar w:fldCharType="begin"/>
          </w:r>
          <w:r>
            <w:instrText xml:space="preserve"> PAGEREF _Toc4369 \h </w:instrText>
          </w:r>
          <w:r>
            <w:fldChar w:fldCharType="separate"/>
          </w:r>
          <w:r>
            <w:t>- 45 -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4C31B37">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_Toc5972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大力发展海洋经济</w:t>
          </w:r>
          <w:r>
            <w:tab/>
          </w:r>
          <w:r>
            <w:fldChar w:fldCharType="begin"/>
          </w:r>
          <w:r>
            <w:instrText xml:space="preserve"> PAGEREF _Toc5972 \h </w:instrText>
          </w:r>
          <w:r>
            <w:fldChar w:fldCharType="separate"/>
          </w:r>
          <w:r>
            <w:t>- 50 -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C74587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_Toc3075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打造数字经济新高地</w:t>
          </w:r>
          <w:r>
            <w:tab/>
          </w:r>
          <w:r>
            <w:fldChar w:fldCharType="begin"/>
          </w:r>
          <w:r>
            <w:instrText xml:space="preserve"> PAGEREF _Toc3075 \h </w:instrText>
          </w:r>
          <w:r>
            <w:fldChar w:fldCharType="separate"/>
          </w:r>
          <w:r>
            <w:t>- 55 -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C7A6DAD">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_Toc30591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大力建设质量强市</w:t>
          </w:r>
          <w:r>
            <w:tab/>
          </w:r>
          <w:r>
            <w:fldChar w:fldCharType="begin"/>
          </w:r>
          <w:r>
            <w:instrText xml:space="preserve"> PAGEREF _Toc30591 \h </w:instrText>
          </w:r>
          <w:r>
            <w:fldChar w:fldCharType="separate"/>
          </w:r>
          <w:r>
            <w:t>- 58 -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46FEF9C">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_Toc30876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第六章 </w:t>
          </w:r>
          <w:r>
            <w:rPr>
              <w:rFonts w:hint="eastAsia" w:ascii="方正小标宋简体" w:eastAsia="方正小标宋简体" w:cs="仿宋" w:hAnsiTheme="minorEastAsia"/>
              <w:spacing w:val="-12"/>
              <w:szCs w:val="32"/>
              <w:highlight w:val="none"/>
              <w:lang w:val="zh-CN"/>
            </w:rPr>
            <w:t>完善基础设施</w:t>
          </w:r>
          <w:r>
            <w:rPr>
              <w:rFonts w:hint="eastAsia" w:ascii="方正小标宋简体" w:eastAsia="方正小标宋简体" w:cs="仿宋" w:hAnsiTheme="minorEastAsia"/>
              <w:spacing w:val="-12"/>
              <w:szCs w:val="32"/>
              <w:highlight w:val="none"/>
            </w:rPr>
            <w:t>建设</w:t>
          </w:r>
          <w:r>
            <w:rPr>
              <w:rFonts w:hint="eastAsia" w:ascii="方正小标宋简体" w:eastAsia="方正小标宋简体" w:cs="仿宋" w:hAnsiTheme="minorEastAsia"/>
              <w:spacing w:val="-12"/>
              <w:szCs w:val="32"/>
              <w:highlight w:val="none"/>
              <w:lang w:val="zh-CN"/>
            </w:rPr>
            <w:t>，</w:t>
          </w:r>
          <w:r>
            <w:rPr>
              <w:rFonts w:hint="eastAsia" w:ascii="方正小标宋简体" w:eastAsia="方正小标宋简体" w:cs="仿宋" w:hAnsiTheme="minorEastAsia"/>
              <w:spacing w:val="-12"/>
              <w:szCs w:val="32"/>
              <w:highlight w:val="none"/>
            </w:rPr>
            <w:t>强力支撑双</w:t>
          </w:r>
          <w:r>
            <w:rPr>
              <w:rFonts w:hint="eastAsia" w:ascii="方正小标宋简体" w:eastAsia="方正小标宋简体" w:cs="仿宋" w:hAnsiTheme="minorEastAsia"/>
              <w:spacing w:val="-12"/>
              <w:szCs w:val="32"/>
              <w:highlight w:val="none"/>
              <w:lang w:val="zh-CN"/>
            </w:rPr>
            <w:t>循环发展新格局</w:t>
          </w:r>
          <w:r>
            <w:tab/>
          </w:r>
          <w:r>
            <w:fldChar w:fldCharType="begin"/>
          </w:r>
          <w:r>
            <w:instrText xml:space="preserve"> PAGEREF _Toc30876 \h </w:instrText>
          </w:r>
          <w:r>
            <w:fldChar w:fldCharType="separate"/>
          </w:r>
          <w:r>
            <w:t>- 60 -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E9260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全力构建顺畅高效的流通体系</w:t>
          </w:r>
          <w:r>
            <w:tab/>
          </w:r>
          <w:r>
            <w:fldChar w:fldCharType="begin"/>
          </w:r>
          <w:r>
            <w:instrText xml:space="preserve"> PAGEREF _Toc2563 \h </w:instrText>
          </w:r>
          <w:r>
            <w:fldChar w:fldCharType="separate"/>
          </w:r>
          <w:r>
            <w:t>- 60 -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D4957A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_Toc14666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加快新型基础设施建设</w:t>
          </w:r>
          <w:r>
            <w:tab/>
          </w:r>
          <w:r>
            <w:fldChar w:fldCharType="begin"/>
          </w:r>
          <w:r>
            <w:instrText xml:space="preserve"> PAGEREF _Toc14666 \h </w:instrText>
          </w:r>
          <w:r>
            <w:fldChar w:fldCharType="separate"/>
          </w:r>
          <w:r>
            <w:t>- 62 -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32CC2DE">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_Toc23542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w:t>
          </w:r>
          <w:r>
            <w:rPr>
              <w:rFonts w:hint="eastAsia" w:ascii="黑体" w:hAnsi="黑体" w:eastAsia="黑体" w:cs="仿宋"/>
              <w:szCs w:val="32"/>
              <w:highlight w:val="none"/>
              <w:lang w:val="en-US" w:eastAsia="zh-CN"/>
            </w:rPr>
            <w:t>三</w:t>
          </w:r>
          <w:r>
            <w:rPr>
              <w:rFonts w:hint="eastAsia" w:ascii="黑体" w:hAnsi="黑体" w:eastAsia="黑体" w:cs="仿宋"/>
              <w:szCs w:val="32"/>
              <w:highlight w:val="none"/>
            </w:rPr>
            <w:t>节 完善水利基础设施建设</w:t>
          </w:r>
          <w:r>
            <w:tab/>
          </w:r>
          <w:r>
            <w:fldChar w:fldCharType="begin"/>
          </w:r>
          <w:r>
            <w:instrText xml:space="preserve"> PAGEREF _Toc23542 \h </w:instrText>
          </w:r>
          <w:r>
            <w:fldChar w:fldCharType="separate"/>
          </w:r>
          <w:r>
            <w:t>- 64 -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4F16F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_Toc4507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w:t>
          </w:r>
          <w:r>
            <w:rPr>
              <w:rFonts w:hint="eastAsia" w:ascii="黑体" w:hAnsi="黑体" w:eastAsia="黑体" w:cs="仿宋"/>
              <w:szCs w:val="32"/>
              <w:highlight w:val="none"/>
              <w:lang w:val="en-US" w:eastAsia="zh-CN"/>
            </w:rPr>
            <w:t>四</w:t>
          </w:r>
          <w:r>
            <w:rPr>
              <w:rFonts w:hint="eastAsia" w:ascii="黑体" w:hAnsi="黑体" w:eastAsia="黑体" w:cs="仿宋"/>
              <w:szCs w:val="32"/>
              <w:highlight w:val="none"/>
            </w:rPr>
            <w:t>节 建设现代能源保障体系</w:t>
          </w:r>
          <w:r>
            <w:tab/>
          </w:r>
          <w:r>
            <w:fldChar w:fldCharType="begin"/>
          </w:r>
          <w:r>
            <w:instrText xml:space="preserve"> PAGEREF _Toc4507 \h </w:instrText>
          </w:r>
          <w:r>
            <w:fldChar w:fldCharType="separate"/>
          </w:r>
          <w:r>
            <w:t>- 66 -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F15F12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_Toc18974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第七章 突出全面深化改革，扩大高水平对外开放</w:t>
          </w:r>
          <w:r>
            <w:tab/>
          </w:r>
          <w:r>
            <w:fldChar w:fldCharType="begin"/>
          </w:r>
          <w:r>
            <w:instrText xml:space="preserve"> PAGEREF _Toc18974 \h </w:instrText>
          </w:r>
          <w:r>
            <w:fldChar w:fldCharType="separate"/>
          </w:r>
          <w:r>
            <w:t>- 67 -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767B3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_Toc15597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全面深化经济领域改革</w:t>
          </w:r>
          <w:r>
            <w:tab/>
          </w:r>
          <w:r>
            <w:fldChar w:fldCharType="begin"/>
          </w:r>
          <w:r>
            <w:instrText xml:space="preserve"> PAGEREF _Toc15597 \h </w:instrText>
          </w:r>
          <w:r>
            <w:fldChar w:fldCharType="separate"/>
          </w:r>
          <w:r>
            <w:t>- 67 -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87724B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全面发挥市场在资源配置决定作用</w:t>
          </w:r>
          <w:r>
            <w:tab/>
          </w:r>
          <w:r>
            <w:fldChar w:fldCharType="begin"/>
          </w:r>
          <w:r>
            <w:instrText xml:space="preserve"> PAGEREF _Toc21863 \h </w:instrText>
          </w:r>
          <w:r>
            <w:fldChar w:fldCharType="separate"/>
          </w:r>
          <w:r>
            <w:t>- 69 -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7CCE5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_Toc10103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lang w:val="en-US" w:eastAsia="zh-CN"/>
            </w:rPr>
            <w:t xml:space="preserve">第三节 </w:t>
          </w:r>
          <w:r>
            <w:rPr>
              <w:rFonts w:hint="eastAsia" w:ascii="黑体" w:hAnsi="黑体" w:eastAsia="黑体" w:cs="仿宋"/>
              <w:szCs w:val="32"/>
              <w:highlight w:val="none"/>
            </w:rPr>
            <w:t>全面加快转变政府职能</w:t>
          </w:r>
          <w:r>
            <w:tab/>
          </w:r>
          <w:r>
            <w:fldChar w:fldCharType="begin"/>
          </w:r>
          <w:r>
            <w:instrText xml:space="preserve"> PAGEREF _Toc10103 \h </w:instrText>
          </w:r>
          <w:r>
            <w:fldChar w:fldCharType="separate"/>
          </w:r>
          <w:r>
            <w:t>- 69 -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95580D">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_Toc21563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坚持高质量招商引资打造对外开放新高地</w:t>
          </w:r>
          <w:r>
            <w:tab/>
          </w:r>
          <w:r>
            <w:fldChar w:fldCharType="begin"/>
          </w:r>
          <w:r>
            <w:instrText xml:space="preserve"> PAGEREF _Toc21563 \h </w:instrText>
          </w:r>
          <w:r>
            <w:fldChar w:fldCharType="separate"/>
          </w:r>
          <w:r>
            <w:t>- 72 -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70D27F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_Toc17602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积极主动参与“一带一路”建设对外开放</w:t>
          </w:r>
          <w:r>
            <w:tab/>
          </w:r>
          <w:r>
            <w:fldChar w:fldCharType="begin"/>
          </w:r>
          <w:r>
            <w:instrText xml:space="preserve"> PAGEREF _Toc17602 \h </w:instrText>
          </w:r>
          <w:r>
            <w:fldChar w:fldCharType="separate"/>
          </w:r>
          <w:r>
            <w:t>- 72 -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F006F57">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_Toc12196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lang w:val="zh-CN"/>
            </w:rPr>
            <w:t>第</w:t>
          </w:r>
          <w:r>
            <w:rPr>
              <w:rFonts w:hint="eastAsia" w:ascii="方正小标宋简体" w:eastAsia="方正小标宋简体" w:cs="仿宋" w:hAnsiTheme="minorEastAsia"/>
              <w:spacing w:val="-12"/>
              <w:szCs w:val="32"/>
              <w:highlight w:val="none"/>
            </w:rPr>
            <w:t>八</w:t>
          </w:r>
          <w:r>
            <w:rPr>
              <w:rFonts w:hint="eastAsia" w:ascii="方正小标宋简体" w:eastAsia="方正小标宋简体" w:cs="仿宋" w:hAnsiTheme="minorEastAsia"/>
              <w:spacing w:val="-12"/>
              <w:szCs w:val="32"/>
              <w:highlight w:val="none"/>
              <w:lang w:val="zh-CN"/>
            </w:rPr>
            <w:t>章 加大农业农村发展力度，全面推进乡村振兴</w:t>
          </w:r>
          <w:r>
            <w:tab/>
          </w:r>
          <w:r>
            <w:fldChar w:fldCharType="begin"/>
          </w:r>
          <w:r>
            <w:instrText xml:space="preserve"> PAGEREF _Toc12196 \h </w:instrText>
          </w:r>
          <w:r>
            <w:fldChar w:fldCharType="separate"/>
          </w:r>
          <w:r>
            <w:t>- 73 -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343E0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_Toc5838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实施乡村建设行动</w:t>
          </w:r>
          <w:r>
            <w:tab/>
          </w:r>
          <w:r>
            <w:fldChar w:fldCharType="begin"/>
          </w:r>
          <w:r>
            <w:instrText xml:space="preserve"> PAGEREF _Toc5838 \h </w:instrText>
          </w:r>
          <w:r>
            <w:fldChar w:fldCharType="separate"/>
          </w:r>
          <w:r>
            <w:t>- 73 -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E7F259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_Toc4688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促进脱贫攻坚与乡村振兴有机衔接</w:t>
          </w:r>
          <w:r>
            <w:tab/>
          </w:r>
          <w:r>
            <w:fldChar w:fldCharType="begin"/>
          </w:r>
          <w:r>
            <w:instrText xml:space="preserve"> PAGEREF _Toc4688 \h </w:instrText>
          </w:r>
          <w:r>
            <w:fldChar w:fldCharType="separate"/>
          </w:r>
          <w:r>
            <w:t>- 76 -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8BE055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_Toc21364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深化农村综合改革</w:t>
          </w:r>
          <w:r>
            <w:tab/>
          </w:r>
          <w:r>
            <w:fldChar w:fldCharType="begin"/>
          </w:r>
          <w:r>
            <w:instrText xml:space="preserve"> PAGEREF _Toc21364 \h </w:instrText>
          </w:r>
          <w:r>
            <w:fldChar w:fldCharType="separate"/>
          </w:r>
          <w:r>
            <w:t>- 78 -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59796C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_Toc24825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推动城乡融合发展，补齐农村公共服务短板</w:t>
          </w:r>
          <w:r>
            <w:tab/>
          </w:r>
          <w:r>
            <w:fldChar w:fldCharType="begin"/>
          </w:r>
          <w:r>
            <w:instrText xml:space="preserve"> PAGEREF _Toc24825 \h </w:instrText>
          </w:r>
          <w:r>
            <w:fldChar w:fldCharType="separate"/>
          </w:r>
          <w:r>
            <w:t>- 80 -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CA28E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_Toc16838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打造都市型现代精品农业</w:t>
          </w:r>
          <w:r>
            <w:tab/>
          </w:r>
          <w:r>
            <w:fldChar w:fldCharType="begin"/>
          </w:r>
          <w:r>
            <w:instrText xml:space="preserve"> PAGEREF _Toc16838 \h </w:instrText>
          </w:r>
          <w:r>
            <w:fldChar w:fldCharType="separate"/>
          </w:r>
          <w:r>
            <w:t>- 83 -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D0DB82B">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_Toc20155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第九章 统筹推进区域协调发展</w:t>
          </w:r>
          <w:r>
            <w:rPr>
              <w:rFonts w:hint="eastAsia" w:ascii="方正小标宋简体" w:eastAsia="方正小标宋简体" w:cs="仿宋" w:hAnsiTheme="minorEastAsia"/>
              <w:spacing w:val="-12"/>
              <w:szCs w:val="32"/>
              <w:highlight w:val="none"/>
              <w:lang w:val="zh-CN"/>
            </w:rPr>
            <w:t>，提升城市发展能级</w:t>
          </w:r>
          <w:r>
            <w:tab/>
          </w:r>
          <w:r>
            <w:fldChar w:fldCharType="begin"/>
          </w:r>
          <w:r>
            <w:instrText xml:space="preserve"> PAGEREF _Toc20155 \h </w:instrText>
          </w:r>
          <w:r>
            <w:fldChar w:fldCharType="separate"/>
          </w:r>
          <w:r>
            <w:t>- 89 -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5316D0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_Toc30586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构建“一核两区两带一廊”市域发展格局</w:t>
          </w:r>
          <w:r>
            <w:tab/>
          </w:r>
          <w:r>
            <w:fldChar w:fldCharType="begin"/>
          </w:r>
          <w:r>
            <w:instrText xml:space="preserve"> PAGEREF _Toc30586 \h </w:instrText>
          </w:r>
          <w:r>
            <w:fldChar w:fldCharType="separate"/>
          </w:r>
          <w:r>
            <w:t>- 89 -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FD04F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_Toc13656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加快老区振兴发展</w:t>
          </w:r>
          <w:r>
            <w:tab/>
          </w:r>
          <w:r>
            <w:fldChar w:fldCharType="begin"/>
          </w:r>
          <w:r>
            <w:instrText xml:space="preserve"> PAGEREF _Toc13656 \h </w:instrText>
          </w:r>
          <w:r>
            <w:fldChar w:fldCharType="separate"/>
          </w:r>
          <w:r>
            <w:t>- 93 -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4CADE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_Toc7842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全面提升中心城区发展能级</w:t>
          </w:r>
          <w:r>
            <w:tab/>
          </w:r>
          <w:r>
            <w:fldChar w:fldCharType="begin"/>
          </w:r>
          <w:r>
            <w:instrText xml:space="preserve"> PAGEREF _Toc7842 \h </w:instrText>
          </w:r>
          <w:r>
            <w:fldChar w:fldCharType="separate"/>
          </w:r>
          <w:r>
            <w:t>- 93 -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1C400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_Toc22662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推动县域高质量发展</w:t>
          </w:r>
          <w:r>
            <w:tab/>
          </w:r>
          <w:r>
            <w:fldChar w:fldCharType="begin"/>
          </w:r>
          <w:r>
            <w:instrText xml:space="preserve"> PAGEREF _Toc22662 \h </w:instrText>
          </w:r>
          <w:r>
            <w:fldChar w:fldCharType="separate"/>
          </w:r>
          <w:r>
            <w:t>- 95 -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A8D69C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_Toc28229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第五节 </w:t>
          </w:r>
          <w:r>
            <w:rPr>
              <w:rFonts w:hint="eastAsia" w:ascii="黑体" w:hAnsi="黑体" w:eastAsia="黑体" w:cs="仿宋"/>
              <w:szCs w:val="32"/>
              <w:highlight w:val="none"/>
              <w:lang w:val="zh-CN"/>
            </w:rPr>
            <w:t>全面推进以人为核心的新型城镇化</w:t>
          </w:r>
          <w:r>
            <w:tab/>
          </w:r>
          <w:r>
            <w:fldChar w:fldCharType="begin"/>
          </w:r>
          <w:r>
            <w:instrText xml:space="preserve"> PAGEREF _Toc28229 \h </w:instrText>
          </w:r>
          <w:r>
            <w:fldChar w:fldCharType="separate"/>
          </w:r>
          <w:r>
            <w:t>- 103 -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B8DB9D2">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_Toc13491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第十章 夯实文化事业和文化产业基础，不断满足人民文化需求</w:t>
          </w:r>
          <w:r>
            <w:tab/>
          </w:r>
          <w:r>
            <w:fldChar w:fldCharType="begin"/>
          </w:r>
          <w:r>
            <w:instrText xml:space="preserve"> PAGEREF _Toc13491 \h </w:instrText>
          </w:r>
          <w:r>
            <w:fldChar w:fldCharType="separate"/>
          </w:r>
          <w:r>
            <w:t>- 104 -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71D3E5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_Toc5267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全面加强意识形态工作</w:t>
          </w:r>
          <w:r>
            <w:tab/>
          </w:r>
          <w:r>
            <w:fldChar w:fldCharType="begin"/>
          </w:r>
          <w:r>
            <w:instrText xml:space="preserve"> PAGEREF _Toc5267 \h </w:instrText>
          </w:r>
          <w:r>
            <w:fldChar w:fldCharType="separate"/>
          </w:r>
          <w:r>
            <w:t>- 104 -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278CE6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_Toc15592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加快提高社会文明程度</w:t>
          </w:r>
          <w:r>
            <w:tab/>
          </w:r>
          <w:r>
            <w:fldChar w:fldCharType="begin"/>
          </w:r>
          <w:r>
            <w:instrText xml:space="preserve"> PAGEREF _Toc15592 \h </w:instrText>
          </w:r>
          <w:r>
            <w:fldChar w:fldCharType="separate"/>
          </w:r>
          <w:r>
            <w:t>- 105 -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596568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_Toc1982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深入挖掘和保护红色文化</w:t>
          </w:r>
          <w:r>
            <w:tab/>
          </w:r>
          <w:r>
            <w:fldChar w:fldCharType="begin"/>
          </w:r>
          <w:r>
            <w:instrText xml:space="preserve"> PAGEREF _Toc1982 \h </w:instrText>
          </w:r>
          <w:r>
            <w:fldChar w:fldCharType="separate"/>
          </w:r>
          <w:r>
            <w:t>- 106 -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BA6B3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_Toc18602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传承优秀传统文化</w:t>
          </w:r>
          <w:r>
            <w:tab/>
          </w:r>
          <w:r>
            <w:fldChar w:fldCharType="begin"/>
          </w:r>
          <w:r>
            <w:instrText xml:space="preserve"> PAGEREF _Toc18602 \h </w:instrText>
          </w:r>
          <w:r>
            <w:fldChar w:fldCharType="separate"/>
          </w:r>
          <w:r>
            <w:t>- 108 -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BB4B8A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_Toc6864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提升公共文化服务水平</w:t>
          </w:r>
          <w:r>
            <w:tab/>
          </w:r>
          <w:r>
            <w:fldChar w:fldCharType="begin"/>
          </w:r>
          <w:r>
            <w:instrText xml:space="preserve"> PAGEREF _Toc6864 \h </w:instrText>
          </w:r>
          <w:r>
            <w:fldChar w:fldCharType="separate"/>
          </w:r>
          <w:r>
            <w:t>- 108 -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76613B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第六节 发展特色文化产业</w:t>
          </w:r>
          <w:r>
            <w:tab/>
          </w:r>
          <w:r>
            <w:fldChar w:fldCharType="begin"/>
          </w:r>
          <w:r>
            <w:instrText xml:space="preserve"> PAGEREF _Toc14863 \h </w:instrText>
          </w:r>
          <w:r>
            <w:fldChar w:fldCharType="separate"/>
          </w:r>
          <w:r>
            <w:t>- 110 -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007B779">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_Toc24047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第十一章 扎实推进生态文明建设，走好绿色发展之路</w:t>
          </w:r>
          <w:r>
            <w:tab/>
          </w:r>
          <w:r>
            <w:fldChar w:fldCharType="begin"/>
          </w:r>
          <w:r>
            <w:instrText xml:space="preserve"> PAGEREF _Toc24047 \h </w:instrText>
          </w:r>
          <w:r>
            <w:fldChar w:fldCharType="separate"/>
          </w:r>
          <w:r>
            <w:t>- 111 -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2A3C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_Toc25958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加快推动绿色低碳循环发展</w:t>
          </w:r>
          <w:r>
            <w:tab/>
          </w:r>
          <w:r>
            <w:fldChar w:fldCharType="begin"/>
          </w:r>
          <w:r>
            <w:instrText xml:space="preserve"> PAGEREF _Toc25958 \h </w:instrText>
          </w:r>
          <w:r>
            <w:fldChar w:fldCharType="separate"/>
          </w:r>
          <w:r>
            <w:t>- 111 -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0DA3B3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_Toc19944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全面强化生态环境治理</w:t>
          </w:r>
          <w:r>
            <w:tab/>
          </w:r>
          <w:r>
            <w:fldChar w:fldCharType="begin"/>
          </w:r>
          <w:r>
            <w:instrText xml:space="preserve"> PAGEREF _Toc19944 \h </w:instrText>
          </w:r>
          <w:r>
            <w:fldChar w:fldCharType="separate"/>
          </w:r>
          <w:r>
            <w:t>- 112 -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EEAC8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_Toc20252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构建生态环境保护体系，</w:t>
          </w:r>
          <w:r>
            <w:rPr>
              <w:rFonts w:hint="eastAsia" w:ascii="黑体" w:hAnsi="黑体" w:eastAsia="黑体" w:cs="仿宋"/>
              <w:szCs w:val="32"/>
              <w:highlight w:val="none"/>
              <w:lang w:val="zh-CN"/>
            </w:rPr>
            <w:t>防范重大生态环境风险</w:t>
          </w:r>
          <w:r>
            <w:tab/>
          </w:r>
          <w:r>
            <w:fldChar w:fldCharType="begin"/>
          </w:r>
          <w:r>
            <w:instrText xml:space="preserve"> PAGEREF _Toc20252 \h </w:instrText>
          </w:r>
          <w:r>
            <w:fldChar w:fldCharType="separate"/>
          </w:r>
          <w:r>
            <w:t>- 114 -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7D654A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_Toc13568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推动形成区域协同共治机制</w:t>
          </w:r>
          <w:r>
            <w:tab/>
          </w:r>
          <w:r>
            <w:fldChar w:fldCharType="begin"/>
          </w:r>
          <w:r>
            <w:instrText xml:space="preserve"> PAGEREF _Toc13568 \h </w:instrText>
          </w:r>
          <w:r>
            <w:fldChar w:fldCharType="separate"/>
          </w:r>
          <w:r>
            <w:t>- 114 -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A4154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_Toc14789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全面提高资源利用效率</w:t>
          </w:r>
          <w:r>
            <w:tab/>
          </w:r>
          <w:r>
            <w:fldChar w:fldCharType="begin"/>
          </w:r>
          <w:r>
            <w:instrText xml:space="preserve"> PAGEREF _Toc14789 \h </w:instrText>
          </w:r>
          <w:r>
            <w:fldChar w:fldCharType="separate"/>
          </w:r>
          <w:r>
            <w:t>- 116 -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2B1040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_Toc28503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第十二章 扎实推进民生事业发展，提高社会建设水平</w:t>
          </w:r>
          <w:r>
            <w:tab/>
          </w:r>
          <w:r>
            <w:fldChar w:fldCharType="begin"/>
          </w:r>
          <w:r>
            <w:instrText xml:space="preserve"> PAGEREF _Toc28503 \h </w:instrText>
          </w:r>
          <w:r>
            <w:fldChar w:fldCharType="separate"/>
          </w:r>
          <w:r>
            <w:t>- 116 -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C22E00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_Toc3440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努力提高人民收入水平和充分保障居民就业</w:t>
          </w:r>
          <w:r>
            <w:tab/>
          </w:r>
          <w:r>
            <w:fldChar w:fldCharType="begin"/>
          </w:r>
          <w:r>
            <w:instrText xml:space="preserve"> PAGEREF _Toc3440 \h </w:instrText>
          </w:r>
          <w:r>
            <w:fldChar w:fldCharType="separate"/>
          </w:r>
          <w:r>
            <w:t>- 117 -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5D141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_Toc5990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推动教育现代化发展</w:t>
          </w:r>
          <w:r>
            <w:tab/>
          </w:r>
          <w:r>
            <w:fldChar w:fldCharType="begin"/>
          </w:r>
          <w:r>
            <w:instrText xml:space="preserve"> PAGEREF _Toc5990 \h </w:instrText>
          </w:r>
          <w:r>
            <w:fldChar w:fldCharType="separate"/>
          </w:r>
          <w:r>
            <w:t>- 118 -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B1DA3C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_Toc10935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全面推进健康陆丰建设</w:t>
          </w:r>
          <w:r>
            <w:tab/>
          </w:r>
          <w:r>
            <w:fldChar w:fldCharType="begin"/>
          </w:r>
          <w:r>
            <w:instrText xml:space="preserve"> PAGEREF _Toc10935 \h </w:instrText>
          </w:r>
          <w:r>
            <w:fldChar w:fldCharType="separate"/>
          </w:r>
          <w:r>
            <w:t>- 121 -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8D1168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_Toc856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完善多层次社会保障体系</w:t>
          </w:r>
          <w:r>
            <w:tab/>
          </w:r>
          <w:r>
            <w:fldChar w:fldCharType="begin"/>
          </w:r>
          <w:r>
            <w:instrText xml:space="preserve"> PAGEREF _Toc856 \h </w:instrText>
          </w:r>
          <w:r>
            <w:fldChar w:fldCharType="separate"/>
          </w:r>
          <w:r>
            <w:t>- 123 -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BC351E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_Toc3878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实施积极应对人口老龄化国家战略</w:t>
          </w:r>
          <w:r>
            <w:tab/>
          </w:r>
          <w:r>
            <w:fldChar w:fldCharType="begin"/>
          </w:r>
          <w:r>
            <w:instrText xml:space="preserve"> PAGEREF _Toc3878 \h </w:instrText>
          </w:r>
          <w:r>
            <w:fldChar w:fldCharType="separate"/>
          </w:r>
          <w:r>
            <w:t>- 124 -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B1A7A39">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_Toc599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第十三章 答好发展和安全两张卷，建设更高水平平安陆丰</w:t>
          </w:r>
          <w:r>
            <w:tab/>
          </w:r>
          <w:r>
            <w:fldChar w:fldCharType="begin"/>
          </w:r>
          <w:r>
            <w:instrText xml:space="preserve"> PAGEREF _Toc599 \h </w:instrText>
          </w:r>
          <w:r>
            <w:fldChar w:fldCharType="separate"/>
          </w:r>
          <w:r>
            <w:t>- 128 -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B78146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_Toc7656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加强国家安全能力建设</w:t>
          </w:r>
          <w:r>
            <w:tab/>
          </w:r>
          <w:r>
            <w:fldChar w:fldCharType="begin"/>
          </w:r>
          <w:r>
            <w:instrText xml:space="preserve"> PAGEREF _Toc7656 \h </w:instrText>
          </w:r>
          <w:r>
            <w:fldChar w:fldCharType="separate"/>
          </w:r>
          <w:r>
            <w:t>- 128 -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BB33C4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积极防范化解重大风险</w:t>
          </w:r>
          <w:r>
            <w:tab/>
          </w:r>
          <w:r>
            <w:fldChar w:fldCharType="begin"/>
          </w:r>
          <w:r>
            <w:instrText xml:space="preserve"> PAGEREF _Toc251 \h </w:instrText>
          </w:r>
          <w:r>
            <w:fldChar w:fldCharType="separate"/>
          </w:r>
          <w:r>
            <w:t>- 130 -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5D38AA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_Toc14048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着力健全公共安全体系</w:t>
          </w:r>
          <w:r>
            <w:tab/>
          </w:r>
          <w:r>
            <w:fldChar w:fldCharType="begin"/>
          </w:r>
          <w:r>
            <w:instrText xml:space="preserve"> PAGEREF _Toc14048 \h </w:instrText>
          </w:r>
          <w:r>
            <w:fldChar w:fldCharType="separate"/>
          </w:r>
          <w:r>
            <w:t>- 131 -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FD39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_Toc13953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提高应急管理能力</w:t>
          </w:r>
          <w:r>
            <w:tab/>
          </w:r>
          <w:r>
            <w:fldChar w:fldCharType="begin"/>
          </w:r>
          <w:r>
            <w:instrText xml:space="preserve"> PAGEREF _Toc13953 \h </w:instrText>
          </w:r>
          <w:r>
            <w:fldChar w:fldCharType="separate"/>
          </w:r>
          <w:r>
            <w:t>- 133 -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EDB417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_Toc22431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维护社会稳定和安全</w:t>
          </w:r>
          <w:r>
            <w:tab/>
          </w:r>
          <w:r>
            <w:fldChar w:fldCharType="begin"/>
          </w:r>
          <w:r>
            <w:instrText xml:space="preserve"> PAGEREF _Toc22431 \h </w:instrText>
          </w:r>
          <w:r>
            <w:fldChar w:fldCharType="separate"/>
          </w:r>
          <w:r>
            <w:t>- 135 -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3D2452D">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_Toc18551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第十四章 </w:t>
          </w:r>
          <w:r>
            <w:rPr>
              <w:rFonts w:hint="eastAsia" w:ascii="方正小标宋简体" w:eastAsia="方正小标宋简体" w:cs="仿宋" w:hAnsiTheme="minorEastAsia"/>
              <w:spacing w:val="-12"/>
              <w:szCs w:val="32"/>
              <w:highlight w:val="none"/>
              <w:lang w:val="en-US" w:eastAsia="zh-CN"/>
            </w:rPr>
            <w:t>完善规划</w:t>
          </w:r>
          <w:r>
            <w:rPr>
              <w:rFonts w:hint="eastAsia" w:ascii="方正小标宋简体" w:eastAsia="方正小标宋简体" w:cs="仿宋" w:hAnsiTheme="minorEastAsia"/>
              <w:spacing w:val="-12"/>
              <w:szCs w:val="32"/>
              <w:highlight w:val="none"/>
              <w:lang w:val="zh-CN"/>
            </w:rPr>
            <w:t>实施保障</w:t>
          </w:r>
          <w:r>
            <w:rPr>
              <w:rFonts w:hint="eastAsia" w:ascii="方正小标宋简体" w:eastAsia="方正小标宋简体" w:cs="仿宋" w:hAnsiTheme="minorEastAsia"/>
              <w:spacing w:val="-12"/>
              <w:szCs w:val="32"/>
              <w:highlight w:val="none"/>
              <w:lang w:val="en-US" w:eastAsia="zh-CN"/>
            </w:rPr>
            <w:t>机制</w:t>
          </w:r>
          <w:r>
            <w:tab/>
          </w:r>
          <w:r>
            <w:fldChar w:fldCharType="begin"/>
          </w:r>
          <w:r>
            <w:instrText xml:space="preserve"> PAGEREF _Toc18551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323191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_Toc7367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加强组织领导</w:t>
          </w:r>
          <w:r>
            <w:tab/>
          </w:r>
          <w:r>
            <w:fldChar w:fldCharType="begin"/>
          </w:r>
          <w:r>
            <w:instrText xml:space="preserve"> PAGEREF _Toc7367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8A0AC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_Toc28646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加强规划衔接</w:t>
          </w:r>
          <w:r>
            <w:tab/>
          </w:r>
          <w:r>
            <w:fldChar w:fldCharType="begin"/>
          </w:r>
          <w:r>
            <w:instrText xml:space="preserve"> PAGEREF _Toc28646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F7ABE3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_Toc21441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加强实施保障</w:t>
          </w:r>
          <w:r>
            <w:tab/>
          </w:r>
          <w:r>
            <w:fldChar w:fldCharType="begin"/>
          </w:r>
          <w:r>
            <w:instrText xml:space="preserve"> PAGEREF _Toc21441 \h </w:instrText>
          </w:r>
          <w:r>
            <w:fldChar w:fldCharType="separate"/>
          </w:r>
          <w:r>
            <w:t>- 139 -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EB3F52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_Toc19661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加强监督考评</w:t>
          </w:r>
          <w:r>
            <w:tab/>
          </w:r>
          <w:r>
            <w:fldChar w:fldCharType="begin"/>
          </w:r>
          <w:r>
            <w:instrText xml:space="preserve"> PAGEREF _Toc19661 \h </w:instrText>
          </w:r>
          <w:r>
            <w:fldChar w:fldCharType="separate"/>
          </w:r>
          <w:r>
            <w:t>- 139 -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F934D74">
          <w:pPr>
            <w:snapToGrid/>
            <w:spacing w:before="0" w:beforeAutospacing="0" w:after="0" w:afterAutospacing="0" w:line="240" w:lineRule="auto"/>
            <w:jc w:val="center"/>
            <w:textAlignment w:val="baseline"/>
            <w:rPr>
              <w:rFonts w:ascii="宋体" w:hAnsi="宋体"/>
              <w:b w:val="0"/>
              <w:i w:val="0"/>
              <w:caps w:val="0"/>
              <w:color w:val="000000" w:themeColor="text1"/>
              <w:spacing w:val="0"/>
              <w:w w:val="100"/>
              <w:sz w:val="20"/>
              <w:highlight w:val="none"/>
              <w:u w:val="none" w:color="auto"/>
              <w14:textFill>
                <w14:solidFill>
                  <w14:schemeClr w14:val="tx1"/>
                </w14:solidFill>
              </w14:textFill>
            </w:rPr>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sdtContent>
    </w:sdt>
    <w:p w14:paraId="5BCA6DC6">
      <w:pPr>
        <w:pStyle w:val="3"/>
        <w:snapToGrid/>
        <w:spacing w:before="340" w:beforeAutospacing="0" w:after="330" w:afterAutospacing="0" w:line="578" w:lineRule="auto"/>
        <w:ind w:firstLine="643" w:firstLineChars="200"/>
        <w:jc w:val="both"/>
        <w:textAlignment w:val="baseline"/>
        <w:rPr>
          <w:rFonts w:eastAsia="黑体"/>
          <w:b/>
          <w:i w:val="0"/>
          <w:caps w:val="0"/>
          <w:color w:val="000000" w:themeColor="text1"/>
          <w:spacing w:val="0"/>
          <w:w w:val="100"/>
          <w:sz w:val="32"/>
          <w:highlight w:val="none"/>
          <w:u w:val="none" w:color="auto"/>
          <w:lang w:val="zh-CN"/>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3"/>
          <w:cols w:space="425" w:num="1"/>
          <w:docGrid w:type="lines" w:linePitch="312" w:charSpace="0"/>
        </w:sectPr>
      </w:pPr>
    </w:p>
    <w:p w14:paraId="32ED9B1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本规划纲要根据党的十九届五中全会精神、广东省委十二届十二次全会精神和《中共</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市委关于制定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市国民经济和社会发展第十四个五年规划的建议》编制，主要明确“十四五”时期陆丰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社会发展的指导思想、基本原则、发展目标和主要任务，并对2035年远景目标进行展望，是全局性、战略性、宏观性、政策性规划，是政府履行经济调节、市场监管、社会管理、公共服务和生态环境保护职能的重要依据，是未来五年陆丰经济社会发展的宏伟蓝图和全市人民共同的行动纲领。</w:t>
      </w:r>
    </w:p>
    <w:p w14:paraId="34D7A543">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0" w:name="_Toc12749"/>
      <w:bookmarkStart w:id="1" w:name="_Toc28416"/>
      <w:bookmarkStart w:id="2" w:name="_Toc17056"/>
      <w:bookmarkStart w:id="3" w:name="_Toc24559"/>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第一章</w:t>
      </w:r>
      <w:bookmarkEnd w:id="0"/>
      <w:bookmarkEnd w:id="1"/>
      <w:bookmarkEnd w:id="2"/>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“十三五”时期发展成就和“十四五”时期发展形势</w:t>
      </w:r>
      <w:bookmarkEnd w:id="3"/>
    </w:p>
    <w:p w14:paraId="6EE0D90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始终坚定不移贯彻中央、省委和汕尾市的决策部署，落实省委“1+1+9”工作部署，围绕加快“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奋力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裂变发展，实现蓝色崛起”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的目标</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全面接轨深圳、全力融入“双区”的战略思路，团结带领全市广大干部群众，沉着冷静应对错综复杂形势，坚决果断抗击新冠病毒感染疫情的严重冲击，积极引领经济发展新常态，同全国全省和汕尾市一道，全面建成了小康社会，经济社会发展取得新成就。</w:t>
      </w:r>
    </w:p>
    <w:p w14:paraId="7C7F060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 w:name="_Toc23681"/>
      <w:bookmarkStart w:id="5" w:name="_Toc29530"/>
      <w:bookmarkStart w:id="6" w:name="_Toc23870"/>
      <w:bookmarkStart w:id="7" w:name="_Toc30390"/>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4"/>
      <w:r>
        <w:rPr>
          <w:rFonts w:hint="eastAsia" w:ascii="黑体" w:hAnsi="黑体" w:eastAsia="黑体" w:cs="仿宋"/>
          <w:color w:val="000000" w:themeColor="text1"/>
          <w:sz w:val="32"/>
          <w:szCs w:val="32"/>
          <w:highlight w:val="none"/>
          <w14:textFill>
            <w14:solidFill>
              <w14:schemeClr w14:val="tx1"/>
            </w14:solidFill>
          </w14:textFill>
        </w:rPr>
        <w:t>“十三五”时期我市发展取得重大成就</w:t>
      </w:r>
      <w:bookmarkEnd w:id="5"/>
      <w:bookmarkEnd w:id="6"/>
      <w:bookmarkEnd w:id="7"/>
    </w:p>
    <w:p w14:paraId="01573C59">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面对国内外复杂严峻的形势和重大疫情的多重影响，我市深入实施一系列重大发展战略和重大政策举措，积极应对各种风险挑战</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，坚持补短板强弱项，全面加快转型升级，着力改善民生，努力提高经济发展质量和效益，</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社会稳定和经济持续健康发展，为“十四五”发展奠定了坚实基础。</w:t>
      </w:r>
    </w:p>
    <w:p w14:paraId="485C74E6">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bookmarkStart w:id="8" w:name="_Toc13874_WPSOffice_Level3"/>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bookmarkEnd w:id="8"/>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经济发展成效显著。</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经济总量突破3</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6</w:t>
      </w:r>
      <w:r>
        <w:rPr>
          <w:rFonts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0</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亿元大关。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全市地区生产总值从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2015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218.9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亿元增加到20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360.1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年均增长7.0%，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增速高于全省平均水平。地方财政一般公共预算收入从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2015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5.89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亿元上升至20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年的8.</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68</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年均增速达8.06%</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全社会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固定资产投资总额</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从2015年的190.25亿元增长到2020年的240.1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五年增幅26.2%</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年，规模以上工业增加值达到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53.07</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亿元；常住人口14</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常住</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人口城镇化率为5</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1.65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1</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实现了跨越式发展。</w:t>
      </w:r>
    </w:p>
    <w:p w14:paraId="3DDDA620">
      <w:pPr>
        <w:pStyle w:val="6"/>
        <w:snapToGrid/>
        <w:spacing w:before="0" w:beforeAutospacing="0" w:after="0" w:afterAutospacing="0" w:line="600" w:lineRule="exact"/>
        <w:ind w:firstLine="420" w:firstLineChars="200"/>
        <w:jc w:val="center"/>
        <w:textAlignment w:val="baseline"/>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254000</wp:posOffset>
            </wp:positionH>
            <wp:positionV relativeFrom="paragraph">
              <wp:posOffset>257175</wp:posOffset>
            </wp:positionV>
            <wp:extent cx="4893310" cy="3098800"/>
            <wp:effectExtent l="4445" t="4445" r="17145" b="20955"/>
            <wp:wrapTopAndBottom/>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图1-</w: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begin"/>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instrText xml:space="preserve"> SEQ 图1- \* ARABIC </w:instrTex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separate"/>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1</w: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end"/>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 xml:space="preserve"> 201</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5</w:t>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年陆丰GDP规模</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演变</w:t>
      </w:r>
    </w:p>
    <w:p w14:paraId="36F0D1BD">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bookmarkStart w:id="9" w:name="_Toc28898"/>
      <w:bookmarkStart w:id="10" w:name="_Toc23899"/>
      <w:bookmarkStart w:id="11" w:name="_Toc1273_WPSOffice_Level3"/>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——交通网络更为立体快捷。</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“十三五”以来，国道G324线陆丰穿城路段改建工程、内湖至碣石旅游公路升级改造工程、国道G228线碣石至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东海乌坎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路段路面改造工程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国道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324线陂洋至内湖段路面改造、国道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324线博美穿城段路面改造、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省道240线陆河交界至沈海高速陆丰互通出入口段路面完成改造工程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完工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。汕汕高铁（陆丰段）、省道510线河西至西南公路、深汕高速潭西互通、深汕高速西段扩建工程完成前期基础工作。</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累计完成国省道路面改造174公里、国省道公路安全生命防护工程90公里、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县乡公路安全生命防护工程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公里，新农村公路路面硬底化建设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419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公里。</w:t>
      </w:r>
    </w:p>
    <w:p w14:paraId="6AA2B987">
      <w:pPr>
        <w:pStyle w:val="6"/>
        <w:snapToGrid/>
        <w:spacing w:before="0" w:beforeAutospacing="0" w:after="0" w:afterAutospacing="0" w:line="240" w:lineRule="auto"/>
        <w:ind w:firstLine="0"/>
        <w:jc w:val="center"/>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drawing>
          <wp:inline distT="0" distB="0" distL="114300" distR="114300">
            <wp:extent cx="5106035" cy="3503295"/>
            <wp:effectExtent l="0" t="0" r="14605" b="1905"/>
            <wp:docPr id="3" name="图片 3" descr="C:\Users\Administrator\Desktop\CC.pn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CC.pngCC"/>
                    <pic:cNvPicPr>
                      <a:picLocks noChangeAspect="1"/>
                    </pic:cNvPicPr>
                  </pic:nvPicPr>
                  <pic:blipFill>
                    <a:blip r:embed="rId8"/>
                    <a:srcRect/>
                    <a:stretch>
                      <a:fillRect/>
                    </a:stretch>
                  </pic:blipFill>
                  <pic:spPr>
                    <a:xfrm>
                      <a:off x="0" y="0"/>
                      <a:ext cx="5106035" cy="3503295"/>
                    </a:xfrm>
                    <a:prstGeom prst="rect">
                      <a:avLst/>
                    </a:prstGeom>
                  </pic:spPr>
                </pic:pic>
              </a:graphicData>
            </a:graphic>
          </wp:inline>
        </w:drawing>
      </w:r>
    </w:p>
    <w:p w14:paraId="71D5363B">
      <w:pPr>
        <w:pStyle w:val="7"/>
        <w:snapToGrid/>
        <w:spacing w:before="0" w:beforeAutospacing="0" w:after="0" w:afterAutospacing="0" w:line="240" w:lineRule="auto"/>
        <w:jc w:val="center"/>
        <w:textAlignment w:val="baseline"/>
        <w:rPr>
          <w:rFonts w:ascii="仿宋_GB2312" w:eastAsia="宋体"/>
          <w:b w:val="0"/>
          <w:i w:val="0"/>
          <w:caps w:val="0"/>
          <w:color w:val="000000" w:themeColor="text1"/>
          <w:spacing w:val="0"/>
          <w:w w:val="100"/>
          <w:sz w:val="24"/>
          <w:highlight w:val="none"/>
          <w:u w:val="none" w:color="auto"/>
          <w14:textFill>
            <w14:solidFill>
              <w14:schemeClr w14:val="tx1"/>
            </w14:solidFill>
          </w14:textFill>
        </w:rPr>
      </w:pP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图1-</w:t>
      </w:r>
      <w:r>
        <w:rPr>
          <w:rFonts w:hint="eastAsia"/>
          <w:b w:val="0"/>
          <w:i w:val="0"/>
          <w:caps w:val="0"/>
          <w:color w:val="000000" w:themeColor="text1"/>
          <w:spacing w:val="0"/>
          <w:w w:val="100"/>
          <w:sz w:val="24"/>
          <w:highlight w:val="none"/>
          <w:u w:val="none" w:color="auto"/>
          <w14:textFill>
            <w14:solidFill>
              <w14:schemeClr w14:val="tx1"/>
            </w14:solidFill>
          </w14:textFill>
        </w:rPr>
        <w:t>2 陆丰交通路网现状</w:t>
      </w:r>
    </w:p>
    <w:p w14:paraId="065EA714">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产业园区集聚动能不断增强</w:t>
      </w:r>
      <w:bookmarkEnd w:id="9"/>
      <w:bookmarkEnd w:id="10"/>
      <w:bookmarkEnd w:id="11"/>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全市三次产业结构从201</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21.1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42.9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调整为20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19.7</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48.2</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。形成了以新能源、电子信息、高端装备制造等新兴产业和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金融、房地产、四上服务业为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主的产业结构。甘薯、萝卜等两个省级现代农业产业园加快发展，陂洋特色水果、八万木兰基地和跨越农业、丰田畜产、超发种养、标铭农业等四家省级“菜篮子”基地以及五家汕尾市级“菜篮子”基地不断壮大。工业实力进一步增强，基本形成以核电、后湖海上风电、甲子海上风电、海洋工程基地等为重点的千亿级新能源产业和海洋高端装备制造业。加强了与深圳市罗湖区合作共建，以陆丰产业转移工业园为中心，带动了星都经济开发区</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东海经济开发区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和碣石至甲子的临海地区开发。星都经济开发区加快建设</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碣石海工装备基地有序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三甲地区工业园区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启动建设</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汕尾（陆丰）临港工业园、</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大南海石化产业园汕尾东海岸石化基地正在规划。第三产业繁荣发展，凭借“神海砂石”、玄武山、清云山、金厢滩滨海旅游区、周恩来渡海口等</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资源</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休闲旅游</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红色旅游快速发展</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一批乡村振兴美丽乡村示范带和万里碧道项目启动建设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p>
    <w:p w14:paraId="18E7247C">
      <w:pPr>
        <w:pStyle w:val="6"/>
        <w:snapToGrid/>
        <w:spacing w:before="0" w:beforeAutospacing="0" w:after="0" w:afterAutospacing="0" w:line="600" w:lineRule="exact"/>
        <w:ind w:firstLine="0"/>
        <w:jc w:val="center"/>
        <w:textAlignment w:val="baseline"/>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321310</wp:posOffset>
            </wp:positionH>
            <wp:positionV relativeFrom="paragraph">
              <wp:posOffset>133350</wp:posOffset>
            </wp:positionV>
            <wp:extent cx="4572000" cy="2743200"/>
            <wp:effectExtent l="0" t="0" r="0" b="0"/>
            <wp:wrapTopAndBottom/>
            <wp:docPr id="6"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图1-3 201</w:t>
      </w:r>
      <w:r>
        <w:rPr>
          <w:rFonts w:hint="eastAsia" w:ascii="黑体" w:hAnsi="黑体" w:eastAsia="黑体" w:cs="黑体"/>
          <w:b w:val="0"/>
          <w:i w:val="0"/>
          <w:caps w:val="0"/>
          <w:color w:val="000000" w:themeColor="text1"/>
          <w:spacing w:val="0"/>
          <w:w w:val="100"/>
          <w:sz w:val="24"/>
          <w:szCs w:val="24"/>
          <w:highlight w:val="none"/>
          <w:u w:val="none" w:color="auto"/>
          <w:lang w:val="en-US" w:eastAsia="zh-CN"/>
          <w14:textFill>
            <w14:solidFill>
              <w14:schemeClr w14:val="tx1"/>
            </w14:solidFill>
          </w14:textFill>
        </w:rPr>
        <w:t>5</w:t>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24"/>
          <w:highlight w:val="none"/>
          <w:u w:val="none" w:color="auto"/>
          <w:lang w:val="en-US" w:eastAsia="zh-CN"/>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年陆丰三次产业结构</w:t>
      </w:r>
    </w:p>
    <w:p w14:paraId="70125AD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12" w:name="_Toc26972_WPSOffice_Level3"/>
      <w:bookmarkStart w:id="13" w:name="_Toc31490"/>
      <w:bookmarkStart w:id="14" w:name="_Toc15163"/>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bookmarkEnd w:id="12"/>
      <w:bookmarkEnd w:id="13"/>
      <w:bookmarkEnd w:id="14"/>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城乡面貌显著改善。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城市品质加快提升，先后完成了陆丰市城市总体规划、金厢滩-玄武山风景名胜区规划、海绵城市等规划编制。完成东河两岸改造升级、陆城污水处理厂南北堤截污干管、陆城管道天然气续建等市政基础设施建设，陆丰市（东南）生活垃圾焚烧发电厂已并网发电，陆丰市运河景观带建设项目全力推进，新时代市民广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河东路（一期）市政工程启动建设。金厢</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溪</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碧道、瀛江碧道建设初见成效。66个省定贫困村投入7.2亿元全面开展村道、庭院及房前屋后绿化美化以及雨污分流，全面铺开垃圾收集点建设，垃圾处理实现“日产日清”，乡村振兴基础进一步夯实。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创文创卫取得实效，持续推进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“十大整治、十大提升”行动，环境卫生、交通秩序、农贸市场、违法建设和户外广告等突出问题得到有效整治。</w:t>
      </w:r>
    </w:p>
    <w:p w14:paraId="49FAD036">
      <w:pPr>
        <w:pStyle w:val="6"/>
        <w:snapToGrid/>
        <w:spacing w:before="0" w:beforeAutospacing="0" w:after="0" w:afterAutospacing="0" w:line="240" w:lineRule="auto"/>
        <w:ind w:firstLine="0"/>
        <w:jc w:val="center"/>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drawing>
          <wp:inline distT="0" distB="0" distL="114300" distR="114300">
            <wp:extent cx="5018405" cy="3114675"/>
            <wp:effectExtent l="0" t="0" r="10795" b="9525"/>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
                    <pic:cNvPicPr>
                      <a:picLocks noChangeAspect="1"/>
                    </pic:cNvPicPr>
                  </pic:nvPicPr>
                  <pic:blipFill>
                    <a:blip r:embed="rId10"/>
                    <a:stretch>
                      <a:fillRect/>
                    </a:stretch>
                  </pic:blipFill>
                  <pic:spPr>
                    <a:xfrm>
                      <a:off x="0" y="0"/>
                      <a:ext cx="5018405" cy="3114675"/>
                    </a:xfrm>
                    <a:prstGeom prst="rect">
                      <a:avLst/>
                    </a:prstGeom>
                  </pic:spPr>
                </pic:pic>
              </a:graphicData>
            </a:graphic>
          </wp:inline>
        </w:drawing>
      </w:r>
    </w:p>
    <w:p w14:paraId="0E3D2F60">
      <w:pPr>
        <w:pStyle w:val="7"/>
        <w:snapToGrid/>
        <w:spacing w:before="0" w:beforeAutospacing="0" w:after="0" w:afterAutospacing="0" w:line="240" w:lineRule="auto"/>
        <w:jc w:val="center"/>
        <w:textAlignment w:val="baseline"/>
        <w:rPr>
          <w:rFonts w:ascii="仿宋_GB2312" w:eastAsia="宋体"/>
          <w:b w:val="0"/>
          <w:i w:val="0"/>
          <w:caps w:val="0"/>
          <w:color w:val="000000" w:themeColor="text1"/>
          <w:spacing w:val="0"/>
          <w:w w:val="100"/>
          <w:sz w:val="24"/>
          <w:highlight w:val="none"/>
          <w:u w:val="none" w:color="auto"/>
          <w:lang w:val="zh-CN"/>
          <w14:textFill>
            <w14:solidFill>
              <w14:schemeClr w14:val="tx1"/>
            </w14:solidFill>
          </w14:textFill>
        </w:rPr>
      </w:pP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图1-</w:t>
      </w:r>
      <w:r>
        <w:rPr>
          <w:b w:val="0"/>
          <w:i w:val="0"/>
          <w:caps w:val="0"/>
          <w:color w:val="000000" w:themeColor="text1"/>
          <w:spacing w:val="0"/>
          <w:w w:val="100"/>
          <w:sz w:val="20"/>
          <w:highlight w:val="none"/>
          <w:u w:val="none" w:color="auto"/>
          <w14:textFill>
            <w14:solidFill>
              <w14:schemeClr w14:val="tx1"/>
            </w14:solidFill>
          </w14:textFill>
        </w:rPr>
        <w:fldChar w:fldCharType="begin"/>
      </w:r>
      <w:r>
        <w:rPr>
          <w:b w:val="0"/>
          <w:i w:val="0"/>
          <w:caps w:val="0"/>
          <w:color w:val="000000" w:themeColor="text1"/>
          <w:spacing w:val="0"/>
          <w:w w:val="100"/>
          <w:sz w:val="20"/>
          <w:highlight w:val="none"/>
          <w:u w:val="none" w:color="auto"/>
          <w14:textFill>
            <w14:solidFill>
              <w14:schemeClr w14:val="tx1"/>
            </w14:solidFill>
          </w14:textFill>
        </w:rPr>
        <w:instrText xml:space="preserve"> SEQ 图1- \* ARABIC </w:instrText>
      </w:r>
      <w:r>
        <w:rPr>
          <w:b w:val="0"/>
          <w:i w:val="0"/>
          <w:caps w:val="0"/>
          <w:color w:val="000000" w:themeColor="text1"/>
          <w:spacing w:val="0"/>
          <w:w w:val="100"/>
          <w:sz w:val="20"/>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4</w:t>
      </w:r>
      <w:r>
        <w:rPr>
          <w:b w:val="0"/>
          <w:i w:val="0"/>
          <w:caps w:val="0"/>
          <w:color w:val="000000" w:themeColor="text1"/>
          <w:spacing w:val="0"/>
          <w:w w:val="100"/>
          <w:sz w:val="20"/>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highlight w:val="none"/>
          <w:u w:val="none" w:color="auto"/>
          <w14:textFill>
            <w14:solidFill>
              <w14:schemeClr w14:val="tx1"/>
            </w14:solidFill>
          </w14:textFill>
        </w:rPr>
        <w:t xml:space="preserve"> 陆丰市域城乡建设用地现状分布格局</w:t>
      </w:r>
    </w:p>
    <w:p w14:paraId="268313B1">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——改革开放深</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入</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加大简政放权力度，行政审批、商事制度、地方机构改革等重大领域和关键环节改革取得重大进展。取消证明事项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175</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直接取消或替代证明材料1344项，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一门式一网式”政府服务，全市所有政务服务事项均进驻服务大厅。加快推进“数字政府”改革建设，推广“粤省事”小程序，484事项实现“指尖办理”。推进商事制度改革，全力服务市场主体发展，各类市场主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达到了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5.9万户，注册资金220亿元。扎实推进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“5+2”农村综合改革，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基本完成土地确权登记颁证，有序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农村集体资产登记产权事项改革，21个镇共有3013宗进入镇级交易中心公开交易。深化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地方机构改革，国地税顺利合并，推进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市农信社改制，顺利获批筹建市农商行。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落实</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殡葬改革，免除7项殡葬基本服务费，切实维护</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广大人民群众权益。</w:t>
      </w:r>
    </w:p>
    <w:p w14:paraId="6E7C4A5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——脱贫攻坚取得决定性胜利。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至2</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020</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年底，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实现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了16952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65843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名贫困人口脱贫、66个相对贫困村出列，贫困户人均可支配收入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14141元，基本完成“两个100%”的目标任务。产业帮扶落到实处，创建了萝卜和甘薯2个省级现代</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产业园，建立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17个市级农业产业园（基地），建设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陆城美食文化广场等7个资产收益类扶贫项目，打造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97个镇（村）级产业扶贫示范基地；组织举办特色农产品展销会，设立1个市（县）级电商服务中心、6个镇级服务站、242个益农信息社网络点，拓宽</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扶贫农产品营销渠道，有效转移3440名贫困劳动力到深圳稳定就业。</w:t>
      </w:r>
    </w:p>
    <w:p w14:paraId="482206BB">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——创新驱动战略深入实施。</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不断深化创新型城市建设工程，加大了建设创新平台力度，提升</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科技创新能力，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有效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推动科技成果转化，优化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创新环境，现有高新技术企业4家、科技型中小企业2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家、省级研发中心1家、市级研发中心2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家、新型研发机构及众创空间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1家，先进能源科学与技术广东省实验室汕尾分中心获批准启动建设。5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网络建设不断推进，完成</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91</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站点配套设施建设，移动公司建设并开通1</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75</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基站，电信公司与联通公司共建开通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56</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基站。</w:t>
      </w:r>
    </w:p>
    <w:p w14:paraId="52DA15D6">
      <w:pPr>
        <w:pStyle w:val="6"/>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——生态环境持续改善。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我市积极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推进了环境综合整治，加强了对破坏环境违法行为的打击</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力度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，做好</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地表水国考断面达标、“散乱污”专项整治、饮用水水源地环境问题整治、污染源普查等重点工作。打击非法电镀企业，多个乡镇集中式饮用水源保护区隔离防护工程完成竣工验收。</w:t>
      </w:r>
      <w:r>
        <w:rPr>
          <w:rFonts w:hint="eastAsia" w:ascii="仿宋_GB2312" w:hAnsi="仿宋_GB2312" w:eastAsia="仿宋_GB2312" w:cs="仿宋_GB2312"/>
          <w:color w:val="000000" w:themeColor="text1"/>
          <w:sz w:val="32"/>
          <w:szCs w:val="32"/>
          <w:highlight w:val="none"/>
          <w14:textFill>
            <w14:solidFill>
              <w14:schemeClr w14:val="tx1"/>
            </w14:solidFill>
          </w14:textFill>
        </w:rPr>
        <w:t>完成工程造林任务3.1万亩，完成森林抚育工程14.04万亩，森林覆盖率达到35.83%，建设绿美红色乡村示范点3个。环境空气质量优良指数比例96.4%，六项空气质量指标连续达标；集中式生活饮用水水源水质达标率100%；实行大气污染排放控制制度，实现污染减排目标。</w:t>
      </w:r>
      <w:bookmarkStart w:id="15" w:name="_Toc1423_WPSOffice_Level3"/>
    </w:p>
    <w:p w14:paraId="72CD64D0">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bookmarkEnd w:id="15"/>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民生福祉持续增进。</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现代</w:t>
      </w: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教育向好发展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教育强市工作、农村义务教育薄弱学校改造规划、农村小规模学校建设等各项规划建设有序推进，</w:t>
      </w:r>
      <w:r>
        <w:rPr>
          <w:rFonts w:hint="eastAsia" w:ascii="仿宋_GB2312" w:hAnsi="仿宋_GB2312" w:eastAsia="仿宋_GB2312" w:cs="仿宋_GB2312"/>
          <w:color w:val="000000" w:themeColor="text1"/>
          <w:sz w:val="32"/>
          <w:szCs w:val="32"/>
          <w:highlight w:val="none"/>
          <w14:textFill>
            <w14:solidFill>
              <w14:schemeClr w14:val="tx1"/>
            </w14:solidFill>
          </w14:textFill>
        </w:rPr>
        <w:t>被授予“广东省推进教育现代化先进县（市、区）”称号。</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市少年宫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市教师发展中心、龙山中学新校区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高中部投入使用，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改扩建市职业技术学校、市碣石镇新安职业技术学校、甲秀职业技术学校</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职业技术学校。</w:t>
      </w: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文体事业再创佳绩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陆丰市体育馆、游泳池新建项目完工，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有“三馆”、人民体育场各一个， 21个镇（区）文化站，335个村（社区）综合性文化服务中心，正字戏和皮影戏非遗传承保护中心各1个，皮影戏非遗展馆1个。群众文化活动丰富，每年坚持举办重大节日庆典、主题性文艺活动和各类型讲座。全面完成</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镇级医疗卫生机构标准化升级建设和279个村级卫生站新建工程，市妇幼保健院、甲子人民卫生院、碣石人民卫生院整体新建搬迁、市中医医院新建住院大楼</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完工并投产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县、镇、村三级医疗卫生服务网络建设。医疗卫生信息化建设投入加大，所有医疗机构实行信息化服务管理，“互联网+医疗健康”服务推广加快。市人民医院、市中医医院、市妇幼保健计划生育服务中心3家县级公立医院列入综合改革范畴，全部取消药品加成。</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zh-CN"/>
          <w14:textFill>
            <w14:solidFill>
              <w14:schemeClr w14:val="tx1"/>
            </w14:solidFill>
          </w14:textFill>
        </w:rPr>
        <w:t>社会保障</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水平</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zh-CN"/>
          <w14:textFill>
            <w14:solidFill>
              <w14:schemeClr w14:val="tx1"/>
            </w14:solidFill>
          </w14:textFill>
        </w:rPr>
        <w:t>不断</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。城镇登记失业率控制在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%以内，全市城乡居民养老保险</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超额完成任务，参保率为105.49</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%，医疗保险参保</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率提高到98.2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C420CF4">
      <w:pPr>
        <w:pStyle w:val="6"/>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——社会治理大局和谐稳定。</w:t>
      </w:r>
      <w:r>
        <w:rPr>
          <w:rFonts w:hint="eastAsia" w:ascii="仿宋_GB2312" w:hAnsi="仿宋_GB2312" w:eastAsia="仿宋_GB2312" w:cs="仿宋_GB2312"/>
          <w:color w:val="000000" w:themeColor="text1"/>
          <w:sz w:val="32"/>
          <w:szCs w:val="32"/>
          <w:highlight w:val="none"/>
          <w14:textFill>
            <w14:solidFill>
              <w14:schemeClr w14:val="tx1"/>
            </w14:solidFill>
          </w14:textFill>
        </w:rPr>
        <w:t>妥善解决乌坎涉稳问题，成功摘除陆丰“毒帽”，成功摘牌涉枪问题挂牌督办重点县，彻底解决碣石地区“洋垃圾”问题，基本解决陂洋镇双坑村涉盗改销机动车问题。高压态势推动扫黑除恶斗争，打掉涉恶团伙61个，破获涉黑涉恶案件434宗。涉盗涉抢、涉黄涉赌违法犯罪行为有效遏制，社会治安实现根本性好转。</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食品安全得到有效保障，全市无较大以上食品药品安全事故发生。应急管理工作得到改革和加强，及时有效应对突发事件，生产安全事故三项指标持续下降，全市无重大森林火灾和重大交通安全事故发生。</w:t>
      </w:r>
    </w:p>
    <w:p w14:paraId="640E7750">
      <w:pPr>
        <w:widowControl/>
        <w:jc w:val="center"/>
        <w:rPr>
          <w:rFonts w:hint="eastAsia" w:ascii="方正小标宋简体" w:hAnsi="黑体" w:eastAsia="方正小标宋简体" w:cs="Times New Roman"/>
          <w:color w:val="000000" w:themeColor="text1"/>
          <w:kern w:val="0"/>
          <w:sz w:val="32"/>
          <w:szCs w:val="32"/>
          <w:highlight w:val="none"/>
          <w14:textFill>
            <w14:solidFill>
              <w14:schemeClr w14:val="tx1"/>
            </w14:solidFill>
          </w14:textFill>
        </w:rPr>
      </w:pPr>
      <w:bookmarkStart w:id="16" w:name="_Toc19347_WPSOffice_Level3"/>
      <w:r>
        <w:rPr>
          <w:rFonts w:hint="eastAsia" w:ascii="方正小标宋简体" w:hAnsi="黑体" w:eastAsia="方正小标宋简体" w:cs="Times New Roman"/>
          <w:color w:val="000000" w:themeColor="text1"/>
          <w:kern w:val="0"/>
          <w:sz w:val="32"/>
          <w:szCs w:val="32"/>
          <w:highlight w:val="none"/>
          <w14:textFill>
            <w14:solidFill>
              <w14:schemeClr w14:val="tx1"/>
            </w14:solidFill>
          </w14:textFill>
        </w:rPr>
        <w:t>表1 陆丰市“十三五”经济社会发展主要指标情况</w:t>
      </w:r>
      <w:bookmarkEnd w:id="16"/>
    </w:p>
    <w:tbl>
      <w:tblPr>
        <w:tblStyle w:val="25"/>
        <w:tblW w:w="11028" w:type="dxa"/>
        <w:jc w:val="center"/>
        <w:shd w:val="clear" w:color="auto" w:fill="FFFFFF" w:themeFill="background1"/>
        <w:tblLayout w:type="fixed"/>
        <w:tblCellMar>
          <w:top w:w="0" w:type="dxa"/>
          <w:left w:w="0" w:type="dxa"/>
          <w:bottom w:w="0" w:type="dxa"/>
          <w:right w:w="0" w:type="dxa"/>
        </w:tblCellMar>
      </w:tblPr>
      <w:tblGrid>
        <w:gridCol w:w="855"/>
        <w:gridCol w:w="1622"/>
        <w:gridCol w:w="1528"/>
        <w:gridCol w:w="868"/>
        <w:gridCol w:w="1020"/>
        <w:gridCol w:w="1308"/>
        <w:gridCol w:w="1424"/>
        <w:gridCol w:w="1359"/>
        <w:gridCol w:w="1044"/>
      </w:tblGrid>
      <w:tr w14:paraId="6F0D85E3">
        <w:tblPrEx>
          <w:shd w:val="clear" w:color="auto" w:fill="FFFFFF" w:themeFill="background1"/>
          <w:tblCellMar>
            <w:top w:w="0" w:type="dxa"/>
            <w:left w:w="0" w:type="dxa"/>
            <w:bottom w:w="0" w:type="dxa"/>
            <w:right w:w="0" w:type="dxa"/>
          </w:tblCellMar>
        </w:tblPrEx>
        <w:trPr>
          <w:trHeight w:val="318"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D93844">
            <w:pPr>
              <w:keepNext w:val="0"/>
              <w:keepLines w:val="0"/>
              <w:widowControl/>
              <w:suppressLineNumbers w:val="0"/>
              <w:jc w:val="center"/>
              <w:textAlignment w:val="center"/>
              <w:rPr>
                <w:rFonts w:ascii="仿宋" w:hAnsi="仿宋" w:eastAsia="仿宋" w:cs="仿宋"/>
                <w:b/>
                <w:i w:val="0"/>
                <w:color w:val="000000" w:themeColor="text1"/>
                <w:sz w:val="22"/>
                <w:szCs w:val="22"/>
                <w:highlight w:val="none"/>
                <w:u w:val="none"/>
                <w14:textFill>
                  <w14:solidFill>
                    <w14:schemeClr w14:val="tx1"/>
                  </w14:solidFill>
                </w14:textFill>
              </w:rPr>
            </w:pPr>
            <w:bookmarkStart w:id="17" w:name="_Toc15269"/>
            <w:bookmarkStart w:id="18" w:name="_Toc31009"/>
            <w:bookmarkStart w:id="19" w:name="_Toc16665"/>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序号</w:t>
            </w:r>
          </w:p>
        </w:tc>
        <w:tc>
          <w:tcPr>
            <w:tcW w:w="315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F77FF3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指标</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5E2D4F0">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2015年</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7CCC47FF">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“十三五”规划目标</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46C8DE0">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“十三五”实际增长</w:t>
            </w: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868A0E3">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属性</w:t>
            </w:r>
          </w:p>
        </w:tc>
      </w:tr>
      <w:tr w14:paraId="4709A4CF">
        <w:tblPrEx>
          <w:tblCellMar>
            <w:top w:w="0" w:type="dxa"/>
            <w:left w:w="0" w:type="dxa"/>
            <w:bottom w:w="0" w:type="dxa"/>
            <w:right w:w="0" w:type="dxa"/>
          </w:tblCellMar>
        </w:tblPrEx>
        <w:trPr>
          <w:trHeight w:val="576"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4B1F6B">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315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3879585">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4A8B98">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8074BFC">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2020年</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22477B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年均增长（%）</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193A5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2020年</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0729D2">
            <w:pPr>
              <w:keepNext w:val="0"/>
              <w:keepLines w:val="0"/>
              <w:widowControl/>
              <w:suppressLineNumbers w:val="0"/>
              <w:jc w:val="left"/>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年均增长（%）</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C7AF3B5">
            <w:pPr>
              <w:jc w:val="center"/>
              <w:rPr>
                <w:rFonts w:hint="eastAsia" w:ascii="宋体" w:hAnsi="宋体" w:eastAsia="宋体" w:cs="宋体"/>
                <w:b/>
                <w:i w:val="0"/>
                <w:color w:val="000000" w:themeColor="text1"/>
                <w:sz w:val="22"/>
                <w:szCs w:val="22"/>
                <w:highlight w:val="none"/>
                <w:u w:val="none"/>
                <w14:textFill>
                  <w14:solidFill>
                    <w14:schemeClr w14:val="tx1"/>
                  </w14:solidFill>
                </w14:textFill>
              </w:rPr>
            </w:pPr>
          </w:p>
        </w:tc>
      </w:tr>
      <w:tr w14:paraId="59BCCEE8">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28C7CB79">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一、经济发展</w:t>
            </w:r>
          </w:p>
        </w:tc>
      </w:tr>
      <w:tr w14:paraId="6A6FD330">
        <w:tblPrEx>
          <w:tblCellMar>
            <w:top w:w="0" w:type="dxa"/>
            <w:left w:w="0" w:type="dxa"/>
            <w:bottom w:w="0" w:type="dxa"/>
            <w:right w:w="0" w:type="dxa"/>
          </w:tblCellMar>
        </w:tblPrEx>
        <w:trPr>
          <w:trHeight w:val="31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7860C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77E7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地区生产总值（亿元）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A996F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218.99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8CA463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400</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84FF09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779781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360.1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36CB423">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7.0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BE8FE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1023C541">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A29350">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2468C8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人均地区生产总值（元）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6DF0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15768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9EC09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27651</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C3EE6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392E2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25133</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8151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6.4</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576B9D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46BA805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71AC4D">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F085D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全员劳动生产率（万元/人）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D80FB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DD933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8AD23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516519">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3F7B22">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BB536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17D260AF">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BB44B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4</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D4A1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居民消费价格指数（%）</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03CA2D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101.3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F337E4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103 </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19A79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2B507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102.4</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EB6573">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1901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CDB4B17">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F0A41BD">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5</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A3F38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服务业增加值比重（%）</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48E174">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3.5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4E6CF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5195A5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D7A87B">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33.7</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62945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〔30.2〕</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7ACC4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7AEA353">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C322D1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6</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E054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常住人口城镇化率（%）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153E0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48.38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CED92C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75以上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657F8C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9.2</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6E572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51.64</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1330D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1.3</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9103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3469F88">
        <w:tblPrEx>
          <w:tblCellMar>
            <w:top w:w="0" w:type="dxa"/>
            <w:left w:w="0" w:type="dxa"/>
            <w:bottom w:w="0" w:type="dxa"/>
            <w:right w:w="0" w:type="dxa"/>
          </w:tblCellMar>
        </w:tblPrEx>
        <w:trPr>
          <w:trHeight w:val="52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8DE4B7">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5829A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研究与发展经费支出占地区生产总值比例（%）</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664C23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7E753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2D4A1A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935BF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BF4D6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4E91F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DBE2496">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C0E747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E9AF8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科技进步贡献率（%）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3490C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3E4A9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44</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B8461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BEF24D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1E41BE">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927B3A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0857A5BA">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6083EF72">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二、民生福祉</w:t>
            </w:r>
          </w:p>
        </w:tc>
      </w:tr>
      <w:tr w14:paraId="0DE91986">
        <w:tblPrEx>
          <w:tblCellMar>
            <w:top w:w="0" w:type="dxa"/>
            <w:left w:w="0" w:type="dxa"/>
            <w:bottom w:w="0" w:type="dxa"/>
            <w:right w:w="0" w:type="dxa"/>
          </w:tblCellMar>
        </w:tblPrEx>
        <w:trPr>
          <w:trHeight w:val="28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746262">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6CF3B8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常住人口（万人）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09C7E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138.8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2A8CD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160</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5F75E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3.05</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FA86D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143.6 </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E04042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ECA246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E332ADC">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6A6D88F">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82AF3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人口自然增长率（‰）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0ED5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7.18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AC67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C4102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2.28</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5A13F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F008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4.7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CB6F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2F7CD3ED">
        <w:tblPrEx>
          <w:tblCellMar>
            <w:top w:w="0" w:type="dxa"/>
            <w:left w:w="0" w:type="dxa"/>
            <w:bottom w:w="0" w:type="dxa"/>
            <w:right w:w="0" w:type="dxa"/>
          </w:tblCellMar>
        </w:tblPrEx>
        <w:trPr>
          <w:trHeight w:val="312"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8585F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764D8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平均预期寿命（岁）</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E126D7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76.49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65BB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77</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FBC3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0.13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DD269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77.8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66DF7E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0A6C0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89A9BEE">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193AD0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73CE7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城镇调查失业率（%）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A5D92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2.36</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FC576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889AC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2F59EF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2.39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BDBEE7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EAAEA8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014B160">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3489A5">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155D92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城镇新增就业人数（万人）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C3208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300C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5169D3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F432D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〔8.7452〕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EA51FF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62589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9E44152">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DDAC92C">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14</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B1735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高中阶段教育毛入学率（%）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BD2B9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85.3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0AB9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F5DDA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1.94</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24C60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95.21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445276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1.94</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1B114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665FA778">
        <w:tblPrEx>
          <w:tblCellMar>
            <w:top w:w="0" w:type="dxa"/>
            <w:left w:w="0" w:type="dxa"/>
            <w:bottom w:w="0" w:type="dxa"/>
            <w:right w:w="0" w:type="dxa"/>
          </w:tblCellMar>
        </w:tblPrEx>
        <w:trPr>
          <w:trHeight w:val="48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FE53F4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15</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3AEC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幼儿学前三年教育毛入学率（%）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87534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81.2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F6177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21F43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3.36</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80C42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92.06</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237A38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2.17</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034FD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026B761A">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B505C6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16</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B3DAD8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九年义务教育巩固率（%）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294E1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97713D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BB5F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9BAE7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96.28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7E632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508FD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00AE0B27">
        <w:tblPrEx>
          <w:tblCellMar>
            <w:top w:w="0" w:type="dxa"/>
            <w:left w:w="0" w:type="dxa"/>
            <w:bottom w:w="0" w:type="dxa"/>
            <w:right w:w="0" w:type="dxa"/>
          </w:tblCellMar>
        </w:tblPrEx>
        <w:trPr>
          <w:trHeight w:val="56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61620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D98E9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城镇职工基本养老保险参保人数（万人）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ED34DE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A1DAF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6816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98EA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14.52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AE036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5.7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56BD8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3DF87A6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9FDF6E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AB8BB2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城乡居民基本养老保险参保率（%）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81464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76E6AB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3CEF8FE">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876ABA">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105.49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CF6F3BE">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2.1</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27118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209FC61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01F55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AEB4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城乡基本医疗保险参保率（%）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BC79E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419FB4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537BEC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28D6E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B03F5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0.04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95F5FE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0D178CD8">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6F31F7">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AFCCF5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城乡居民人均可支配收入（元）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D7F6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14247</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EC1E9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与GDP增长同步</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B2771A">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21806</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AA58BB">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8.9</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BB9E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4EAE898E">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7AD678B0">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三、生态文明</w:t>
            </w:r>
          </w:p>
        </w:tc>
      </w:tr>
      <w:tr w14:paraId="63A3C61C">
        <w:tblPrEx>
          <w:tblCellMar>
            <w:top w:w="0" w:type="dxa"/>
            <w:left w:w="0" w:type="dxa"/>
            <w:bottom w:w="0" w:type="dxa"/>
            <w:right w:w="0" w:type="dxa"/>
          </w:tblCellMar>
        </w:tblPrEx>
        <w:trPr>
          <w:trHeight w:val="28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DE4B2E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5A038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耕地保有量（公顷）</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A834E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50594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CD3AF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49983</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90088E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1A6CC3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63558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2BD93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4.7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61D3A3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60B9B61C">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ED73BF">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138550">
            <w:pPr>
              <w:keepNext w:val="0"/>
              <w:keepLines w:val="0"/>
              <w:widowControl/>
              <w:suppressLineNumbers w:val="0"/>
              <w:jc w:val="center"/>
              <w:textAlignment w:val="cente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单位工业增加值用水量</w:t>
            </w:r>
          </w:p>
          <w:p w14:paraId="538B0B9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（立方米/万元）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6926C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33.11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D94DB6">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37AB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6FA9C2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21.5</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21EB2D00">
            <w:pPr>
              <w:keepNext w:val="0"/>
              <w:keepLines w:val="0"/>
              <w:widowControl/>
              <w:suppressLineNumbers w:val="0"/>
              <w:jc w:val="center"/>
              <w:textAlignment w:val="center"/>
              <w:rPr>
                <w:color w:val="000000" w:themeColor="text1"/>
                <w:highlight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-8.3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4FFD7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52B3B6E5">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A82C5E">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CCB34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非化石能源占能源消费比重（%）</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FB4A15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303A1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0408BBD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A3D6395">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FEBB80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426F9EF9">
        <w:tblPrEx>
          <w:tblCellMar>
            <w:top w:w="0" w:type="dxa"/>
            <w:left w:w="0" w:type="dxa"/>
            <w:bottom w:w="0" w:type="dxa"/>
            <w:right w:w="0" w:type="dxa"/>
          </w:tblCellMar>
        </w:tblPrEx>
        <w:trPr>
          <w:trHeight w:val="864"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65A7E6">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24</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7B8B6F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能源消费控制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D4ADBF9">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单位生产总值能源消耗降低（%）</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DA748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443DA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C8969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7D071E9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sz w:val="22"/>
                <w:szCs w:val="22"/>
                <w:highlight w:val="none"/>
                <w:u w:val="none"/>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sz w:val="22"/>
                <w:szCs w:val="22"/>
                <w:highlight w:val="none"/>
                <w:u w:val="none"/>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A6641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73147D9B">
        <w:tblPrEx>
          <w:tblCellMar>
            <w:top w:w="0" w:type="dxa"/>
            <w:left w:w="0" w:type="dxa"/>
            <w:bottom w:w="0" w:type="dxa"/>
            <w:right w:w="0" w:type="dxa"/>
          </w:tblCellMar>
        </w:tblPrEx>
        <w:trPr>
          <w:trHeight w:val="879"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9D5A30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25</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7318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温室气体排放控制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BA05E4">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碳排放总量（万吨二氧化碳当量）</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1ABCF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2328" w:type="dxa"/>
            <w:gridSpan w:val="2"/>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40931B4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ED588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0D56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1854D435">
        <w:tblPrEx>
          <w:tblCellMar>
            <w:top w:w="0" w:type="dxa"/>
            <w:left w:w="0" w:type="dxa"/>
            <w:bottom w:w="0" w:type="dxa"/>
            <w:right w:w="0" w:type="dxa"/>
          </w:tblCellMar>
        </w:tblPrEx>
        <w:trPr>
          <w:trHeight w:val="879"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300680">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25D6459">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E98F24F">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单位生产总值二氧化碳排放降低（%）</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0E655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2328" w:type="dxa"/>
            <w:gridSpan w:val="2"/>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19084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69A3D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90714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64F2E364">
        <w:tblPrEx>
          <w:tblCellMar>
            <w:top w:w="0" w:type="dxa"/>
            <w:left w:w="0" w:type="dxa"/>
            <w:bottom w:w="0" w:type="dxa"/>
            <w:right w:w="0" w:type="dxa"/>
          </w:tblCellMar>
        </w:tblPrEx>
        <w:trPr>
          <w:trHeight w:val="879"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D0A5C9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26</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B177E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主要污染物排放总量控制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976A41">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化学需氧量（万吨）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9BC6F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1.73</w:t>
            </w:r>
          </w:p>
        </w:tc>
        <w:tc>
          <w:tcPr>
            <w:tcW w:w="2328" w:type="dxa"/>
            <w:gridSpan w:val="2"/>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2E4F6296">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0DEACE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0AF6D90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4B14C0C3">
        <w:tblPrEx>
          <w:tblCellMar>
            <w:top w:w="0" w:type="dxa"/>
            <w:left w:w="0" w:type="dxa"/>
            <w:bottom w:w="0" w:type="dxa"/>
            <w:right w:w="0" w:type="dxa"/>
          </w:tblCellMar>
        </w:tblPrEx>
        <w:trPr>
          <w:trHeight w:val="591"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778548">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EEE2CF">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760C4F8">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二氧化硫（万吨）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FA1DE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0.071</w:t>
            </w:r>
          </w:p>
        </w:tc>
        <w:tc>
          <w:tcPr>
            <w:tcW w:w="2328" w:type="dxa"/>
            <w:gridSpan w:val="2"/>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7B47C46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F1348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1FC6CAB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5D3D57DC">
        <w:tblPrEx>
          <w:tblCellMar>
            <w:top w:w="0" w:type="dxa"/>
            <w:left w:w="0" w:type="dxa"/>
            <w:bottom w:w="0" w:type="dxa"/>
            <w:right w:w="0" w:type="dxa"/>
          </w:tblCellMar>
        </w:tblPrEx>
        <w:trPr>
          <w:trHeight w:val="327"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C3E690">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8FE2B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58FC00C">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氨氮（万吨）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DB57E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0.21</w:t>
            </w:r>
          </w:p>
        </w:tc>
        <w:tc>
          <w:tcPr>
            <w:tcW w:w="2328" w:type="dxa"/>
            <w:gridSpan w:val="2"/>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7658EE5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7E4E2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2DF9F9E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4B02D6E4">
        <w:tblPrEx>
          <w:tblCellMar>
            <w:top w:w="0" w:type="dxa"/>
            <w:left w:w="0" w:type="dxa"/>
            <w:bottom w:w="0" w:type="dxa"/>
            <w:right w:w="0" w:type="dxa"/>
          </w:tblCellMar>
        </w:tblPrEx>
        <w:trPr>
          <w:trHeight w:val="591"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FD0265">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FAD795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3483249">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氮氧化物（万吨）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08F8A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0.017</w:t>
            </w:r>
          </w:p>
        </w:tc>
        <w:tc>
          <w:tcPr>
            <w:tcW w:w="2328" w:type="dxa"/>
            <w:gridSpan w:val="2"/>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5EDB7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30DC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1602A1">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7362C83D">
        <w:tblPrEx>
          <w:tblCellMar>
            <w:top w:w="0" w:type="dxa"/>
            <w:left w:w="0" w:type="dxa"/>
            <w:bottom w:w="0" w:type="dxa"/>
            <w:right w:w="0" w:type="dxa"/>
          </w:tblCellMar>
        </w:tblPrEx>
        <w:trPr>
          <w:trHeight w:val="312"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8670E1">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9F2F1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PM2.5浓度（微克/立方米）</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7B2F4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22AF6C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27EB73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无检测</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6A908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7F14F3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F91B8CB">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61DF91">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70047A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城镇生活污水集中处理率（%）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F57C2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B662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025A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4.2</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F19546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96.1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55B5A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3.7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902AD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288EFBD">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44201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70B8D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城镇生活垃圾无害化处理率（%）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453A7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5E243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CF570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DFE87E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100</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1D08D1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10.0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1523B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B0AAA19">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88C72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11FD7C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森林覆盖率（%）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650537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41.14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D10499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43.72</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16A1A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0.5以上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142A05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35.83</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472D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-2.7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661E6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1C45538F">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9D1AD5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4947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城市人均公园绿地面积（平方米）</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E77ED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9414F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377B51F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DCD23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bl>
    <w:p w14:paraId="2337533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Times New Roman"/>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1．〔〕内为5年累计数。</w:t>
      </w:r>
    </w:p>
    <w:p w14:paraId="234E90F1">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宋体" w:hAnsi="宋体" w:eastAsia="宋体" w:cs="Times New Roman"/>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2.2015年及“十三五”规划目标数据来自《汕尾统计年鉴》及《陆丰市国民经济和社会发展第十三个五年规划纲要》。</w:t>
      </w:r>
    </w:p>
    <w:p w14:paraId="0D1A3247">
      <w:pPr>
        <w:spacing w:before="156" w:beforeLines="50" w:line="320" w:lineRule="exact"/>
        <w:ind w:firstLine="420" w:firstLineChars="200"/>
        <w:rPr>
          <w:rFonts w:hint="default" w:ascii="宋体" w:hAnsi="宋体" w:eastAsia="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3.“十三五”实际增长”数据来自陆丰市相应部门。</w:t>
      </w:r>
    </w:p>
    <w:p w14:paraId="4E61E74D">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20" w:name="_Toc25076"/>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7"/>
      <w:r>
        <w:rPr>
          <w:rFonts w:hint="eastAsia" w:ascii="黑体" w:hAnsi="黑体" w:eastAsia="黑体" w:cs="仿宋"/>
          <w:color w:val="000000" w:themeColor="text1"/>
          <w:sz w:val="32"/>
          <w:szCs w:val="32"/>
          <w:highlight w:val="none"/>
          <w14:textFill>
            <w14:solidFill>
              <w14:schemeClr w14:val="tx1"/>
            </w14:solidFill>
          </w14:textFill>
        </w:rPr>
        <w:t>“十四五”时期我市面临重大机遇和挑战</w:t>
      </w:r>
      <w:bookmarkEnd w:id="18"/>
      <w:bookmarkEnd w:id="19"/>
      <w:bookmarkEnd w:id="20"/>
    </w:p>
    <w:p w14:paraId="61333670">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当前，我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发展环境发生深刻变化，外部环境更趋复杂多变，</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国内</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面临构建以内循环为主、内外循环相互促进的新发展格局。“十四五”时期，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将在全面建成小康社会基础上，乘势而上开启全面建设社会主义现代化国家，</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未来五年</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既面临着新机遇，也面临着严峻挑战。</w:t>
      </w:r>
    </w:p>
    <w:p w14:paraId="2D1F56E3">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一、发展机遇</w:t>
      </w:r>
    </w:p>
    <w:p w14:paraId="1D066EA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21" w:name="_Hlk49495486"/>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党的十九届五中全会为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指明了前进方向。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全会深刻分析我国发展环境面临的深刻复杂变化，提出到二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三五年基本实现社会主义现代化的远景目标，明确了“十四五”时期经济社会发展指导方针、主要目标和主要任务，强调要全面贯彻新发展理念，着力构建新发展格局。</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要在全国、全省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汕尾市中找准发展方位、优化发展策略、谋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划</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重大抓手，在新发展阶段、新发展格局的大背景、大环境下，努力实现在跟跑中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实现并跑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并跑中谋求超越，在现代化建设新征程中奋力裂变发展，实现蓝色崛起，在新发展阶段中贡献陆丰力量、展现陆丰担当。五中全会要求坚持把发展经济着力点放在实体经济上，坚定不移建设制造强国、质量强国、网络强国、数字中国，推进产业基础高级化、产业链现代化，提高经济质量效益和核心竞争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要聚焦经济发展主责主业，抢占未来产业发展制高点，构建现代化经济体系。五中全会对未来发展蓝图的擘画，为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深刻理解“十四五”时期发展环境，谋划做好各项工作提供了基本</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方向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3CF13C8">
      <w:pPr>
        <w:pStyle w:val="6"/>
        <w:snapToGrid/>
        <w:spacing w:before="0" w:beforeAutospacing="0" w:after="0" w:afterAutospacing="0" w:line="600" w:lineRule="exact"/>
        <w:ind w:left="0" w:leftChars="0"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“特区带老区”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对口帮扶</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政策红利持续释放。</w:t>
      </w:r>
      <w:bookmarkEnd w:id="21"/>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中央对革命老区的政策支持力度不断加大，省委、省政府出台《关于进一步推动我省革命老区和原中央苏区振兴发展的意见》，继续安排</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深圳罗湖区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全面对口帮扶</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，为我市用好用活各级支持政策，善用特区和先行示范区建在家门口的区位优势，集聚整合各类要素资源，加快振兴发展提供了强力支撑。</w:t>
      </w:r>
    </w:p>
    <w:p w14:paraId="5E2FF34A">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深圳都市圈建设助力</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腾飞。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国家和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省均明确将汕尾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纳入深圳都市圈建设范围，《深圳都市圈发展规划》正抓紧制定，深圳都市圈建设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进入快速实施阶段。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必须紧紧抓住深圳都市圈加快建设的重大战略机遇，按照“规划共绘、设施共建、产业共兴、资源共享、机制共活”的思路加快全面接轨深圳，深度融入深莞惠大都市区，推动经济社会实现高质量跨越式发展。</w:t>
      </w:r>
    </w:p>
    <w:p w14:paraId="2B3E08F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陆丰“东承西接”的区位优势</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凸显</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我省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正在举全省之力推进粤港澳大湾区和深圳建设中国特色社会主义先行示范区，通过扩大有效投资推动“一核一带一区”战略部署落地落实，以交通基础设施为先导促进沿海经济带东西两翼发展提速和培育发展极，深入探索珠三角和粤东西北区域合作新模式等，这为加快省内后发地区实现赶超发展，促进产业扩能增效、城市发展扩容提质和乡村振兴带来新机遇。广东区域发展格局正加快重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处于粤港澳大湾区向外辐射发展的第一圈层，是珠三角岸线向粤东延伸的重要战略支点，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全面融入“湾区带”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和东承“汕潮揭”都市圈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新发展格局具有显著的区位和资源禀赋优势。</w:t>
      </w:r>
    </w:p>
    <w:p w14:paraId="72A681B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市委市政府谋变破局，为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奋进崛起增添动力。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为加快改变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发展落后现状，市委市政府正视差距，</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积极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谋变破局。为在全省发展大局中找准陆丰定位、谋好陆丰位置，不添麻烦、不拖后腿、多做贡献，市委市政府强化责任担当，以“项目双进”、“双招双引”为抓手，着力抓好大项目、搭建大平台，坚持补短板强弱项推进基础设施建设，坚持打造“平安陆丰”，坚持全面深化改革，坚持统筹城乡区域协调发展，坚持推进社会民生事业，坚持党的全面领导，为推动陆丰裂变式高质量发展注入强大动力。</w:t>
      </w:r>
    </w:p>
    <w:p w14:paraId="22C2473C">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二、主要的问题和挑战</w:t>
      </w:r>
    </w:p>
    <w:p w14:paraId="083821A3">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总体来看，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要取得</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大的发展还需要进一步破解以下瓶颈制约。</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一是经济基础薄弱，经济总体规模偏小，产业层次不高，工业比重较低，主导产业不强，缺乏支撑发展、引领未来的大产业，重大项目储备和投资后劲不足，新旧动能转换较慢。二是长期面临珠三角城市对人才与产业要素的虹吸，与周边城市海丰、惠来等存在同质化竞争，创新创业基础环境薄弱，民生短板较多，人才外流现象严重，吸引资金、技术和人才等发展要素的难度较大。三是人口</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总量</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较多，城乡协调发展和城市管理水平较低，城市基础设施不够完善，城市形象欠佳，中心城区扩容提质压力较大。四是全域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不平衡不充分问题比较突出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，城乡公共资源布局不够平衡，公共服务有效供给不足，各区域协同联动发展能力较弱。</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五是平衡经济发展和社会安全建设的任务较重，依然需要花大力度来加强应急管理，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社会稳定和安全的营商环境。</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在成本和环境资源约束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背景下，开发与保护矛盾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也</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有所显现。保持经济快速发展、提升发展质量和效益存在较大压力。</w:t>
      </w:r>
    </w:p>
    <w:p w14:paraId="41E48DA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综合判断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，“十四五”时期，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虽然面临更加错综复杂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内外环境，发展机遇和风险挑战反复交织，但依然是实现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发展的重要机遇期和窗口期。总体来看机遇大于挑战，经济社会发展稳中向好、长期向好的基本趋势没有改变，应对重大风险和挑战的韧性明显增强，“融湾强带”的政策利好持续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释放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。站在新的历史起点，面对发展大势的深刻变化，我们要保持战略定力，化挑战为机遇、变压力为动力，以改革创新的思维，迎难而上推动经济社会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w:t>
      </w:r>
    </w:p>
    <w:p w14:paraId="2CAD76FD">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22" w:name="_Toc7769"/>
      <w:bookmarkStart w:id="23" w:name="_Toc22258"/>
      <w:bookmarkStart w:id="24" w:name="_Toc16407"/>
      <w:bookmarkStart w:id="25" w:name="_Toc2765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第二章 </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总体要求</w:t>
      </w:r>
      <w:bookmarkEnd w:id="22"/>
      <w:bookmarkEnd w:id="23"/>
      <w:bookmarkEnd w:id="24"/>
      <w:bookmarkEnd w:id="25"/>
    </w:p>
    <w:p w14:paraId="34219BEC">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全面贯彻落实中央</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及省市的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重大战略决策部署，针对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裂变式</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高质量发展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过程中可能出现的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经济社会新趋势和新问题，围绕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总体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定位，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明确“</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十四五</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时期发展的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指导思想、基本原则和发展目标。</w:t>
      </w:r>
    </w:p>
    <w:p w14:paraId="3FA4495A">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26" w:name="_Toc2418"/>
      <w:bookmarkStart w:id="27" w:name="_Toc12896"/>
      <w:bookmarkStart w:id="28" w:name="_Toc3028"/>
      <w:bookmarkStart w:id="29" w:name="_Toc6863"/>
      <w:r>
        <w:rPr>
          <w:rFonts w:hint="eastAsia" w:ascii="黑体" w:hAnsi="黑体" w:eastAsia="黑体" w:cs="仿宋"/>
          <w:color w:val="000000" w:themeColor="text1"/>
          <w:sz w:val="32"/>
          <w:szCs w:val="32"/>
          <w:highlight w:val="none"/>
          <w14:textFill>
            <w14:solidFill>
              <w14:schemeClr w14:val="tx1"/>
            </w14:solidFill>
          </w14:textFill>
        </w:rPr>
        <w:t xml:space="preserve">第一节 </w:t>
      </w:r>
      <w:r>
        <w:rPr>
          <w:rFonts w:hint="eastAsia" w:ascii="黑体" w:hAnsi="黑体" w:eastAsia="黑体" w:cs="仿宋"/>
          <w:color w:val="000000" w:themeColor="text1"/>
          <w:sz w:val="32"/>
          <w:szCs w:val="32"/>
          <w:highlight w:val="none"/>
          <w:lang w:val="zh-CN"/>
          <w14:textFill>
            <w14:solidFill>
              <w14:schemeClr w14:val="tx1"/>
            </w14:solidFill>
          </w14:textFill>
        </w:rPr>
        <w:t>指导思想</w:t>
      </w:r>
      <w:bookmarkEnd w:id="26"/>
      <w:bookmarkEnd w:id="27"/>
      <w:bookmarkEnd w:id="28"/>
      <w:bookmarkEnd w:id="29"/>
    </w:p>
    <w:p w14:paraId="2DEE7AF7">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高举中国特色社会主义伟大旗帜，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习近平新时代中国特色社会主义思想为指导，全面贯彻党的十九大和十九届二中、三中、四中、五中全会精神，深入贯彻习近平总书记对广东重要讲话和重要指示批示精神，统筹推进“五位一体”总体布局，协调推进“四个全面”战略布局，坚持新发展理念</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坚持稳中求进工作总基调。以深化供给侧结构性改革为主线，以创新为根本动力，以满足人民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日益增长的美好生活需要为根本目的，统筹发展和安全，围绕“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奋力裂变发展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，实现蓝色崛起</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”总目标，突出当好粤东蓝色崛起示范区、汕尾高质量发展新引擎，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生态宜居宜业宜游滨海城市。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向西</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全面接轨深圳，全力融入“双区”，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向东全面对接汕头、携手汕潮揭，在东承西接中，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努力融入以国内大循环为主体、国内国际双循环相互促进的新发展格局。以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完善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基础设施建设、提升城市能级和培育园区经济为抓手，加强革命老区建设，着力推进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经济发展和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民生改善，坚决守住环保和社会稳定两条底线，确保社会主义现代化建设新征程开好局，将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打造为深圳都市圈与汕潮揭都市圈有机衔接的枢纽城市，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为汕尾市加快建设沿海经济带靓丽明珠，为我省在全面建设社会主义现代化国家新征程上走在全国前列、创造新辉煌作出陆丰贡献。</w:t>
      </w:r>
    </w:p>
    <w:p w14:paraId="1BB16FA2">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30" w:name="_Toc1537"/>
      <w:bookmarkStart w:id="31" w:name="_Toc22357"/>
      <w:bookmarkStart w:id="32" w:name="_Toc235"/>
      <w:bookmarkStart w:id="33" w:name="_Toc31583"/>
      <w:r>
        <w:rPr>
          <w:rFonts w:hint="eastAsia" w:ascii="黑体" w:hAnsi="黑体" w:eastAsia="黑体" w:cs="仿宋"/>
          <w:color w:val="000000" w:themeColor="text1"/>
          <w:sz w:val="32"/>
          <w:szCs w:val="32"/>
          <w:highlight w:val="none"/>
          <w14:textFill>
            <w14:solidFill>
              <w14:schemeClr w14:val="tx1"/>
            </w14:solidFill>
          </w14:textFill>
        </w:rPr>
        <w:t xml:space="preserve">第二节 </w:t>
      </w:r>
      <w:r>
        <w:rPr>
          <w:rFonts w:hint="eastAsia" w:ascii="黑体" w:hAnsi="黑体" w:eastAsia="黑体" w:cs="仿宋"/>
          <w:color w:val="000000" w:themeColor="text1"/>
          <w:sz w:val="32"/>
          <w:szCs w:val="32"/>
          <w:highlight w:val="none"/>
          <w:lang w:val="zh-CN"/>
          <w14:textFill>
            <w14:solidFill>
              <w14:schemeClr w14:val="tx1"/>
            </w14:solidFill>
          </w14:textFill>
        </w:rPr>
        <w:t>基本原则</w:t>
      </w:r>
      <w:bookmarkEnd w:id="30"/>
      <w:bookmarkEnd w:id="31"/>
      <w:bookmarkEnd w:id="32"/>
      <w:bookmarkEnd w:id="33"/>
    </w:p>
    <w:p w14:paraId="4CED66A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——坚持党的全面领导。</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坚决贯彻落实</w:t>
      </w:r>
      <w:r>
        <w:rPr>
          <w:rFonts w:hint="c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两个维护</w:t>
      </w:r>
      <w:r>
        <w:rPr>
          <w:rFonts w:hint="c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，坚持和完善党领导经济社会发展的体制机制，不断提高贯彻新发展理念、构建新发展格局能力和水平，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发挥党员带头作用，着力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打造一支讲政治、敢担当、守纪律、树正气、重团结、抓落实</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“狮子型”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干部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队伍，为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发展提供根本</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保障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7FBBBEA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——坚持以人民为中心。</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坚持共同富裕方向，始终做到发展为了人民、发展依靠人民、发展成果由人民共享，维护人民根本利益。</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加快推动城市基本公共服务向乡村延伸</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优化分配机制，不断提升农民的工资性</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产品型、转移性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和财产性</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四大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收入，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激发全市人民的积极性、主动性、创造性，促进社会公平，增进民生福祉，不断实现人民群众对美好生活的向往。</w:t>
      </w:r>
    </w:p>
    <w:p w14:paraId="76EDEA6F">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——坚持新发展理念。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把新发展理念贯穿发展全过程和各领域，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积极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探索构建新发展格局。切实转变发展方式，加快推动质量变革、效率变革、动力变革，实现更高质量、更有效率、更加公平、更可持续、更为安全的发展。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优化市域各板块交通联系，推动三甲地区一体化，碣石镇打造市域副中心，着力破解市域发展不平衡不充分问题，支撑陆丰构建区域性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微循环</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内部循环，</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提升整体发展效率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523C30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——坚持深化改革开放。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深入学习</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借鉴</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深圳等经济特区建设经验，加强治理体系和治理能力现代化建设，破除制约高质量发展、高品质生活的体制机制障碍。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加快机构改革步伐，</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推进与“双区”政策接轨，推动更多政务服务事项与“双区”实现跨城通办。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推动土地、劳动力、资本、技术、数据五个要素市场化配置改革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和“5+2”农村综合改革，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强化有利于提高资源配置效率、有利于调动全社会积极性的重大改革开放举措，持续增强发展动力和活力。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围绕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风清气正的政治生态、活力四射的经济生态、山清水秀的自然生态、百花齐放的文化生态、文明和谐的社会生态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建设，营造有利于现代化建设的营商环境。</w:t>
      </w:r>
    </w:p>
    <w:p w14:paraId="4FB7D0A2">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——坚持系统观念。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加强前瞻性思考、全局性谋划、战略性布局、整体性推进，坚决服从服务国家省市发展大局。坚持全市一盘棋，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禁毒、打假、打击走私、海湾线、海上安全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等方面的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社会管理和安全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治理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深入落实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湾长制、港长制、澳长制，船长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推动形成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海上网格化管理。着力固根基、扬优势、补短板、强弱项，注重防范化解重大风险挑战，实现发展质量、结构、规模、速度、效益、安全相统一。</w:t>
      </w:r>
    </w:p>
    <w:p w14:paraId="2A50FB12">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34" w:name="_Toc22325"/>
      <w:bookmarkStart w:id="35" w:name="_Toc8663"/>
      <w:bookmarkStart w:id="36" w:name="_Toc2948"/>
      <w:bookmarkStart w:id="37" w:name="_Toc21491"/>
      <w:r>
        <w:rPr>
          <w:rFonts w:hint="eastAsia" w:ascii="黑体" w:hAnsi="黑体" w:eastAsia="黑体" w:cs="仿宋"/>
          <w:color w:val="000000" w:themeColor="text1"/>
          <w:sz w:val="32"/>
          <w:szCs w:val="32"/>
          <w:highlight w:val="none"/>
          <w14:textFill>
            <w14:solidFill>
              <w14:schemeClr w14:val="tx1"/>
            </w14:solidFill>
          </w14:textFill>
        </w:rPr>
        <w:t xml:space="preserve">第三节 </w:t>
      </w:r>
      <w:r>
        <w:rPr>
          <w:rFonts w:hint="eastAsia" w:ascii="黑体" w:hAnsi="黑体" w:eastAsia="黑体" w:cs="仿宋"/>
          <w:color w:val="000000" w:themeColor="text1"/>
          <w:sz w:val="32"/>
          <w:szCs w:val="32"/>
          <w:highlight w:val="none"/>
          <w:lang w:val="zh-CN"/>
          <w14:textFill>
            <w14:solidFill>
              <w14:schemeClr w14:val="tx1"/>
            </w14:solidFill>
          </w14:textFill>
        </w:rPr>
        <w:t>发展目标</w:t>
      </w:r>
      <w:bookmarkEnd w:id="34"/>
      <w:bookmarkEnd w:id="35"/>
      <w:bookmarkEnd w:id="36"/>
      <w:bookmarkEnd w:id="37"/>
    </w:p>
    <w:p w14:paraId="6F85A463">
      <w:pPr>
        <w:pStyle w:val="59"/>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展望二〇三五年，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将与全国全省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及汕尾市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同步基本实现社会主义现代化。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与深圳都市圈同城化水平全面提升，融入“双区”高质量一体化发展格局全面形成。经济裂变发展迈上新的大台阶，人均生产总值与全国、全省平均水平的差距缩小，全市经济实力、创新能力、综合竞争力大幅提升，基础设施实现更高水平互联互通，基本实现新型工业化、信息化、城镇化、农业现代化，建成现代化经济体系；社会文明达到新的高度，文化软实力显著增强，实现教育现代化；基本实现治理体系和治理能力现代化，平安陆丰建设达到更高水平；城乡一体化融合发展和居民生活水平显著提升，基本实现基本公共服务均等化，基本实现幼有养育、学有优教、劳有厚得、病有良医、老有颐养、住有宜居、弱有众扶，人民生活更加美好。</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今后五年要努力实现以下主要目标。</w:t>
      </w:r>
    </w:p>
    <w:p w14:paraId="20AFF44A">
      <w:pPr>
        <w:snapToGrid/>
        <w:spacing w:before="0" w:beforeAutospacing="0" w:after="0" w:afterAutospacing="0" w:line="600" w:lineRule="exact"/>
        <w:ind w:firstLine="643" w:firstLineChars="200"/>
        <w:jc w:val="both"/>
        <w:textAlignment w:val="baseline"/>
        <w:rPr>
          <w:rFonts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——经济发展质量效益大幅提升。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地区生产总值稳步增长，到2025年，地区生产总值（GDP）达到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570</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年均增长7.5%左右，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保持高于全国、全省平均水平的中高速增长，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质量效益</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提升幅度高于粤东西北地区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平均水平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交通环网，形成</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综合交通枢纽，公路网体系和港口布局进一步合理完善，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融入汕尾市“半小时经济圈”以及粤港澳大湾区“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小时经济圈”步伐。先进制造业、现代服务业发展水平不断提高，传统产业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加快转型升级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，全面建成陆丰核电、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火电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及海上风电</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项目</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，新能源产业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进一步壮大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。农业现代化取得明显进展，旅游业发展壮大，海洋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经济及数字经济初步形成规模。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新产业、新业态发展活跃，现代产业与珠三角融合发展取得明显成效。供与需、内与外、城乡区域发展更趋平衡更加协调，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综合实力迈上新台阶，发展质量和效益明显提升。</w:t>
      </w:r>
    </w:p>
    <w:p w14:paraId="2F91FD05">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——改革开放迈出新步伐。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国企国资改革、现代财税体制改革、投融资体制机制</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创新、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机构改革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数字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政府建设等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重要领域和关键环节改革取得突破性进展。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市场主体更加充满活力，要素市场化配置改革取得重大进展，</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公平竞争制度更加健全，高标准市场体系基本建成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。以面向粤港澳大湾区深圳都市圈的开放合作为主线，形成内外双向开放发展新格局，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建成深圳都市圈重要节点城市，形成开放型经济发展新高地，“八个便利”和“六个通办”的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营商环境不断优化。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内外互联互通设施更加完善，开放平台辐射带动作用显著增强，实现人才、技术、资本、信息等各要素在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融合聚变。</w:t>
      </w:r>
    </w:p>
    <w:p w14:paraId="25D7A5B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——社会文明程度不断提高。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社会主义核心价值观深入人心，基础设施进一步优化，有效适应经济社会发展需要。岭南、客家、潮汕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优秀传统文化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得到发扬</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革命老区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红色文化传承不断推进，公共文化体育服务体系不断完善，正字戏、皮影戏、英歌舞、滚地金龙</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等国家级非物质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文化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遗产文化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产业体系更加健全，人民精神文化生活日益丰富，以文化人、以文惠民、以文兴业深入开展，文化引领支撑和涵养滋润作用突显，文化强市建设初显成效，文化软实力明显增强，文化自信更加坚定。</w:t>
      </w:r>
    </w:p>
    <w:p w14:paraId="7A2A4E8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——生态文明建设水平不断提升。</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形成更加</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清晰合理、优势互补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国土空间开发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保护格局，生产生活方式绿色</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低碳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转型成效显著，能源资源利用效率大幅提高，生态文明建设体系基本完善，产业结构低耗、合理、高效，“生态-健康-养生-宜居”产业体系联动发展。城乡饮用水源水质稳定安全达标，空气质量和海岸生态总体保持良好。城乡人居环境明显改善，粤港澳大湾区后花园基本建成，生态环境优势进一步彰显。园林城市、森林城市创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成效显著</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，如期创建广东省县级文明城市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卫生城市。</w:t>
      </w:r>
    </w:p>
    <w:p w14:paraId="1C4D50D4">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——民生福祉质量不断提高。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城市扩容提质步伐加快，城镇化水平进一步提高，城市品质和功能不断提升，产城融合不断深化，美丽乡村建设加快推进，</w:t>
      </w:r>
      <w:r>
        <w:rPr>
          <w:rFonts w:eastAsia="仿宋_GB2312"/>
          <w:b w:val="0"/>
          <w:i w:val="0"/>
          <w:caps w:val="0"/>
          <w:color w:val="000000" w:themeColor="text1"/>
          <w:spacing w:val="0"/>
          <w:w w:val="100"/>
          <w:sz w:val="32"/>
          <w:szCs w:val="32"/>
          <w:highlight w:val="none"/>
          <w:u w:val="none" w:color="auto"/>
          <w14:textFill>
            <w14:solidFill>
              <w14:schemeClr w14:val="tx1"/>
            </w14:solidFill>
          </w14:textFill>
        </w:rPr>
        <w:t>乡村振兴战略全面推进，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城乡环境进一步改善，城乡发展一体化水平不断提高，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宜居宜业、绿色、智慧、人文的现代滨海城市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基础</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教育、文化、卫生、体育等社会事业全面发展，社会保障更加公平完善。教育水平和人口素质进一步提高，高中阶段教育毛入学率达到95%以上。城乡居民基本养老保险参保率达到95%以上，城乡基本医疗参保率达到98%以上，新型农村合作医疗参保率达到99%。实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城乡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基本公共服务均等化和社会保障城乡一体化，</w:t>
      </w:r>
      <w:r>
        <w:rPr>
          <w:rFonts w:eastAsia="仿宋_GB2312"/>
          <w:b w:val="0"/>
          <w:i w:val="0"/>
          <w:caps w:val="0"/>
          <w:color w:val="000000" w:themeColor="text1"/>
          <w:spacing w:val="0"/>
          <w:w w:val="100"/>
          <w:sz w:val="32"/>
          <w:szCs w:val="32"/>
          <w:highlight w:val="none"/>
          <w:u w:val="none" w:color="auto"/>
          <w14:textFill>
            <w14:solidFill>
              <w14:schemeClr w14:val="tx1"/>
            </w14:solidFill>
          </w14:textFill>
        </w:rPr>
        <w:t>人民生活水平更加富裕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434E723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——社会治理水平不断提升。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依法治市取得显著成效，公民文明素质和社会文明程度明显提高，管理更加精细化、科学化、规范化，社会治理体系更加完善，社会大局保持和谐稳定，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意识形态安全得到有力维护。</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法治陆丰、平安陆丰、无毒陆丰建设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得新成效，“五治一体”基层治理体系成熟定型，围绕政治更安全、社会更安定、人民更安宁“三大目标”，市域治理主动仗和平安建设翻身仗“两场大仗”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取得明显效果</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人民合法权益得到切实保障。</w:t>
      </w:r>
    </w:p>
    <w:tbl>
      <w:tblPr>
        <w:tblStyle w:val="25"/>
        <w:tblW w:w="9876" w:type="dxa"/>
        <w:jc w:val="center"/>
        <w:shd w:val="clear" w:color="auto" w:fill="auto"/>
        <w:tblLayout w:type="fixed"/>
        <w:tblCellMar>
          <w:top w:w="0" w:type="dxa"/>
          <w:left w:w="0" w:type="dxa"/>
          <w:bottom w:w="0" w:type="dxa"/>
          <w:right w:w="0" w:type="dxa"/>
        </w:tblCellMar>
      </w:tblPr>
      <w:tblGrid>
        <w:gridCol w:w="960"/>
        <w:gridCol w:w="4822"/>
        <w:gridCol w:w="1238"/>
        <w:gridCol w:w="1200"/>
        <w:gridCol w:w="924"/>
        <w:gridCol w:w="732"/>
      </w:tblGrid>
      <w:tr w14:paraId="07BEA57E">
        <w:tblPrEx>
          <w:shd w:val="clear" w:color="auto" w:fill="auto"/>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941AFC">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bookmarkStart w:id="38" w:name="_Toc32236"/>
            <w:bookmarkStart w:id="39" w:name="_Toc5560"/>
            <w:bookmarkStart w:id="40" w:name="_Toc16579"/>
            <w:r>
              <w:rPr>
                <w:rFonts w:hint="default" w:ascii="方正小标宋简体" w:hAnsi="黑体" w:eastAsia="方正小标宋简体" w:cs="Times New Roman"/>
                <w:color w:val="000000" w:themeColor="text1"/>
                <w:kern w:val="0"/>
                <w:sz w:val="32"/>
                <w:szCs w:val="32"/>
                <w:highlight w:val="none"/>
                <w:lang w:val="en-US" w:eastAsia="zh-CN"/>
                <w14:textFill>
                  <w14:solidFill>
                    <w14:schemeClr w14:val="tx1"/>
                  </w14:solidFill>
                </w14:textFill>
              </w:rPr>
              <w:t>表2 陆丰市“十四五”经济社会发展主要指标表</w:t>
            </w:r>
          </w:p>
        </w:tc>
      </w:tr>
      <w:tr w14:paraId="0EE36A4F">
        <w:tblPrEx>
          <w:tblCellMar>
            <w:top w:w="0" w:type="dxa"/>
            <w:left w:w="0" w:type="dxa"/>
            <w:bottom w:w="0" w:type="dxa"/>
            <w:right w:w="0" w:type="dxa"/>
          </w:tblCellMar>
        </w:tblPrEx>
        <w:trPr>
          <w:trHeight w:val="606"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A489636">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D4A18D0">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指   标</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CB755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2020</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55296FC">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2025</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59C65BD">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年均增长（%）</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FC53E6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属性</w:t>
            </w:r>
          </w:p>
        </w:tc>
      </w:tr>
      <w:tr w14:paraId="5189E6E5">
        <w:tblPrEx>
          <w:tblCellMar>
            <w:top w:w="0" w:type="dxa"/>
            <w:left w:w="0" w:type="dxa"/>
            <w:bottom w:w="0" w:type="dxa"/>
            <w:right w:w="0" w:type="dxa"/>
          </w:tblCellMar>
        </w:tblPrEx>
        <w:trPr>
          <w:trHeight w:val="303"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EB3F56C">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一、经济发展</w:t>
            </w:r>
          </w:p>
        </w:tc>
      </w:tr>
      <w:tr w14:paraId="4B1D9FC6">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8A7721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66D81DA">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地区生产总值（亿）</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7461FD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360.1</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25AA31">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570</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DF095F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7.5</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5DADB61">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2C09E56E">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0600102">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2</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616EBA4">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全员劳动生产率（</w:t>
            </w: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万</w:t>
            </w:r>
            <w:r>
              <w:rPr>
                <w:rStyle w:val="68"/>
                <w:rFonts w:hint="eastAsia"/>
                <w:color w:val="000000" w:themeColor="text1"/>
                <w:highlight w:val="none"/>
                <w:lang w:val="en-US" w:eastAsia="zh-CN" w:bidi="ar"/>
                <w14:textFill>
                  <w14:solidFill>
                    <w14:schemeClr w14:val="tx1"/>
                  </w14:solidFill>
                </w14:textFill>
              </w:rPr>
              <w:t>元/人</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E10799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E4AEDF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ED497E4">
            <w:pPr>
              <w:jc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t>完成上级指标</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6B1C53C">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3A8079AE">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25D6CDC">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3</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4D7B566">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常住人口城镇化率（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204441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51.64</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BEF47F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60</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ACBDDF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3.05</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10D1C3F">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79B9BB8C">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D24A9B3">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二、创新驱动</w:t>
            </w:r>
          </w:p>
        </w:tc>
      </w:tr>
      <w:tr w14:paraId="1BB162B6">
        <w:tblPrEx>
          <w:tblCellMar>
            <w:top w:w="0" w:type="dxa"/>
            <w:left w:w="0" w:type="dxa"/>
            <w:bottom w:w="0" w:type="dxa"/>
            <w:right w:w="0" w:type="dxa"/>
          </w:tblCellMar>
        </w:tblPrEx>
        <w:trPr>
          <w:trHeight w:val="2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9BF66A1">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4</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C3230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R&amp;D占</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GDP</w:t>
            </w:r>
            <w:r>
              <w:rPr>
                <w:rStyle w:val="68"/>
                <w:color w:val="000000" w:themeColor="text1"/>
                <w:highlight w:val="none"/>
                <w:lang w:val="en-US" w:eastAsia="zh-CN" w:bidi="ar"/>
                <w14:textFill>
                  <w14:solidFill>
                    <w14:schemeClr w14:val="tx1"/>
                  </w14:solidFill>
                </w14:textFill>
              </w:rPr>
              <w:t>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4A890E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1777D1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C23F33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C9EB2A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07FFEBFB">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77544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5</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C56916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数字经济核心产业增加值占</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GDP</w:t>
            </w:r>
            <w:r>
              <w:rPr>
                <w:rStyle w:val="68"/>
                <w:color w:val="000000" w:themeColor="text1"/>
                <w:highlight w:val="none"/>
                <w:lang w:val="en-US" w:eastAsia="zh-CN" w:bidi="ar"/>
                <w14:textFill>
                  <w14:solidFill>
                    <w14:schemeClr w14:val="tx1"/>
                  </w14:solidFill>
                </w14:textFill>
              </w:rPr>
              <w:t>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67D4EDC">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883F4FD">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07A3BC5">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D6AFDD6">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02358601">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A0FEF70">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6</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B73FC61">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每万人口拥有高价值发明专利数（件）</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205DC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387F08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EE57B0D">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692A9B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预期性</w:t>
            </w:r>
          </w:p>
        </w:tc>
      </w:tr>
      <w:tr w14:paraId="2889F4AD">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4C9BFFB">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三、民生福祉</w:t>
            </w:r>
          </w:p>
        </w:tc>
      </w:tr>
      <w:tr w14:paraId="05AC95C0">
        <w:tblPrEx>
          <w:tblCellMar>
            <w:top w:w="0" w:type="dxa"/>
            <w:left w:w="0" w:type="dxa"/>
            <w:bottom w:w="0" w:type="dxa"/>
            <w:right w:w="0" w:type="dxa"/>
          </w:tblCellMar>
        </w:tblPrEx>
        <w:trPr>
          <w:trHeight w:val="580"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D2F6957">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7</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43E392D">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人均可支配收入</w:t>
            </w:r>
            <w:r>
              <w:rPr>
                <w:rStyle w:val="68"/>
                <w:color w:val="000000" w:themeColor="text1"/>
                <w:highlight w:val="none"/>
                <w:lang w:val="en-US" w:eastAsia="zh-CN" w:bidi="ar"/>
                <w14:textFill>
                  <w14:solidFill>
                    <w14:schemeClr w14:val="tx1"/>
                  </w14:solidFill>
                </w14:textFill>
              </w:rPr>
              <w:t>增长率（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670C78D2">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7.3</w:t>
            </w:r>
          </w:p>
        </w:tc>
        <w:tc>
          <w:tcPr>
            <w:tcW w:w="2124" w:type="dxa"/>
            <w:gridSpan w:val="2"/>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006B397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t>与经济增长基本一致</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31213FD">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66EC1E65">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217CE18">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8</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406C0C">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城镇调查失业率（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8CD86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2.39</w:t>
            </w:r>
          </w:p>
        </w:tc>
        <w:tc>
          <w:tcPr>
            <w:tcW w:w="1200"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082E917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3%以内</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46E2F23">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DDAE600">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72DD361D">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A4FA313">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9</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3D3AF9">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人均预期寿命（岁）</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C96D34">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77.8</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E25CA7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78.6</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4A1F46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sz w:val="22"/>
                <w:szCs w:val="22"/>
                <w:highlight w:val="none"/>
                <w:u w:val="none"/>
                <w14:textFill>
                  <w14:solidFill>
                    <w14:schemeClr w14:val="tx1"/>
                  </w14:solidFill>
                </w14:textFill>
              </w:rPr>
              <w:t>〔0.</w:t>
            </w:r>
            <w:r>
              <w:rPr>
                <w:rFonts w:hint="eastAsia" w:ascii="宋体" w:hAnsi="宋体" w:cs="宋体"/>
                <w:i w:val="0"/>
                <w:color w:val="000000" w:themeColor="text1"/>
                <w:sz w:val="22"/>
                <w:szCs w:val="22"/>
                <w:highlight w:val="none"/>
                <w:u w:val="none"/>
                <w:lang w:val="en-US" w:eastAsia="zh-CN"/>
                <w14:textFill>
                  <w14:solidFill>
                    <w14:schemeClr w14:val="tx1"/>
                  </w14:solidFill>
                </w14:textFill>
              </w:rPr>
              <w:t>8</w:t>
            </w:r>
            <w:r>
              <w:rPr>
                <w:rFonts w:hint="eastAsia" w:ascii="宋体" w:hAnsi="宋体" w:eastAsia="宋体" w:cs="宋体"/>
                <w:i w:val="0"/>
                <w:color w:val="000000" w:themeColor="text1"/>
                <w:sz w:val="22"/>
                <w:szCs w:val="22"/>
                <w:highlight w:val="none"/>
                <w:u w:val="none"/>
                <w14:textFill>
                  <w14:solidFill>
                    <w14:schemeClr w14:val="tx1"/>
                  </w14:solidFill>
                </w14:textFill>
              </w:rPr>
              <w:t>〕</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8DDE9B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6313818A">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D8FDFC">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10</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494D95">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劳动年龄人口平均受教育年限（年）</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2704BDA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10.7</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C09F88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11.2</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07773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7868FD">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64F741B0">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793C0D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11</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57763BC">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每千人口执业医生数（人）</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67208E1">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03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9559285">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1.7</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E666F3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8B31E96">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2475C8AA">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DF01D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12</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A6AA8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每千人口拥有</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w:t>
            </w:r>
            <w:r>
              <w:rPr>
                <w:rStyle w:val="68"/>
                <w:color w:val="000000" w:themeColor="text1"/>
                <w:highlight w:val="none"/>
                <w:lang w:val="en-US" w:eastAsia="zh-CN" w:bidi="ar"/>
                <w14:textFill>
                  <w14:solidFill>
                    <w14:schemeClr w14:val="tx1"/>
                  </w14:solidFill>
                </w14:textFill>
              </w:rPr>
              <w:t>岁以下婴幼儿托育位数（位）</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925F7E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C4EE7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65F38F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sz w:val="22"/>
                <w:szCs w:val="22"/>
                <w:highlight w:val="none"/>
                <w:u w:val="none"/>
                <w14:textFill>
                  <w14:solidFill>
                    <w14:schemeClr w14:val="tx1"/>
                  </w14:solidFill>
                </w14:textFill>
              </w:rPr>
              <w:t>〔1〕</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46A832">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0414CCFD">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0AD1F5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13</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9B60F41">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基本养老保险参加率（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B342037">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完成指标</w:t>
            </w:r>
          </w:p>
          <w:p w14:paraId="4A453F9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任务</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EF24130">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完成指标</w:t>
            </w:r>
          </w:p>
          <w:p w14:paraId="133415D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842610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2D80483">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36103BE1">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88EDB89">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四、绿色发展</w:t>
            </w:r>
          </w:p>
        </w:tc>
      </w:tr>
      <w:tr w14:paraId="7260402F">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3313853">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14</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9C08B59">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单位GDP</w:t>
            </w:r>
            <w:r>
              <w:rPr>
                <w:rStyle w:val="68"/>
                <w:color w:val="000000" w:themeColor="text1"/>
                <w:highlight w:val="none"/>
                <w:lang w:val="en-US" w:eastAsia="zh-CN" w:bidi="ar"/>
                <w14:textFill>
                  <w14:solidFill>
                    <w14:schemeClr w14:val="tx1"/>
                  </w14:solidFill>
                </w14:textFill>
              </w:rPr>
              <w:t>能耗降幅（</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704A03E">
            <w:pPr>
              <w:jc w:val="center"/>
              <w:rPr>
                <w:rFonts w:hint="eastAsia" w:ascii="宋体" w:hAnsi="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5.91</w:t>
            </w:r>
          </w:p>
          <w:p w14:paraId="04588BA3">
            <w:pPr>
              <w:jc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（前三季度）</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EED38B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C7E0FBB">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E0C0427">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5B5434FC">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9DBBDB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15</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C138AD4">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单位GDP</w:t>
            </w:r>
            <w:r>
              <w:rPr>
                <w:rStyle w:val="68"/>
                <w:color w:val="000000" w:themeColor="text1"/>
                <w:highlight w:val="none"/>
                <w:lang w:val="en-US" w:eastAsia="zh-CN" w:bidi="ar"/>
                <w14:textFill>
                  <w14:solidFill>
                    <w14:schemeClr w14:val="tx1"/>
                  </w14:solidFill>
                </w14:textFill>
              </w:rPr>
              <w:t>二氧化碳排放降低（</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86F32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3.53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902E4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D7ECDFB">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0A5828E">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342441B9">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844C6F">
            <w:pPr>
              <w:keepNext w:val="0"/>
              <w:keepLines w:val="0"/>
              <w:widowControl/>
              <w:suppressLineNumbers w:val="0"/>
              <w:jc w:val="center"/>
              <w:textAlignment w:val="center"/>
              <w:rPr>
                <w:rFonts w:hint="default" w:ascii="宋体" w:hAnsi="宋体" w:eastAsia="宋体" w:cs="宋体"/>
                <w:b/>
                <w:i w:val="0"/>
                <w:color w:val="000000" w:themeColor="text1"/>
                <w:sz w:val="22"/>
                <w:szCs w:val="22"/>
                <w:highlight w:val="none"/>
                <w:u w:val="none"/>
                <w:lang w:val="en-US"/>
                <w14:textFill>
                  <w14:solidFill>
                    <w14:schemeClr w14:val="tx1"/>
                  </w14:solidFill>
                </w14:textFill>
              </w:rPr>
            </w:pPr>
            <w:r>
              <w:rPr>
                <w:rFonts w:hint="eastAsia" w:ascii="宋体" w:hAnsi="宋体" w:cs="宋体"/>
                <w:b/>
                <w:i w:val="0"/>
                <w:color w:val="000000" w:themeColor="text1"/>
                <w:kern w:val="0"/>
                <w:sz w:val="22"/>
                <w:szCs w:val="22"/>
                <w:highlight w:val="none"/>
                <w:u w:val="none"/>
                <w:lang w:val="en-US" w:eastAsia="zh-CN" w:bidi="ar"/>
                <w14:textFill>
                  <w14:solidFill>
                    <w14:schemeClr w14:val="tx1"/>
                  </w14:solidFill>
                </w14:textFill>
              </w:rPr>
              <w:t>16</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4F7E6EC">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城市细颗粒物（PM</w:t>
            </w:r>
            <w:r>
              <w:rPr>
                <w:rStyle w:val="69"/>
                <w:rFonts w:eastAsia="宋体"/>
                <w:color w:val="000000" w:themeColor="text1"/>
                <w:highlight w:val="none"/>
                <w:lang w:val="en-US" w:eastAsia="zh-CN" w:bidi="ar"/>
                <w14:textFill>
                  <w14:solidFill>
                    <w14:schemeClr w14:val="tx1"/>
                  </w14:solidFill>
                </w14:textFill>
              </w:rPr>
              <w:t>2.5</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平均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浓度</w:t>
            </w:r>
            <w:r>
              <w:rPr>
                <w:rStyle w:val="68"/>
                <w:color w:val="000000" w:themeColor="text1"/>
                <w:highlight w:val="none"/>
                <w:lang w:val="en-US" w:eastAsia="zh-CN" w:bidi="ar"/>
                <w14:textFill>
                  <w14:solidFill>
                    <w14:schemeClr w14:val="tx1"/>
                  </w14:solidFill>
                </w14:textFill>
              </w:rPr>
              <w:t>降幅（</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73B2D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D73946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BB74C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B574748">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71B07D81">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C29C98">
            <w:pPr>
              <w:keepNext w:val="0"/>
              <w:keepLines w:val="0"/>
              <w:widowControl/>
              <w:suppressLineNumbers w:val="0"/>
              <w:jc w:val="center"/>
              <w:textAlignment w:val="center"/>
              <w:rPr>
                <w:rFonts w:hint="default" w:ascii="宋体" w:hAnsi="宋体" w:eastAsia="宋体" w:cs="宋体"/>
                <w:b/>
                <w:i w:val="0"/>
                <w:color w:val="000000" w:themeColor="text1"/>
                <w:sz w:val="22"/>
                <w:szCs w:val="22"/>
                <w:highlight w:val="none"/>
                <w:u w:val="none"/>
                <w:lang w:val="en-US"/>
                <w14:textFill>
                  <w14:solidFill>
                    <w14:schemeClr w14:val="tx1"/>
                  </w14:solidFill>
                </w14:textFill>
              </w:rPr>
            </w:pPr>
            <w:r>
              <w:rPr>
                <w:rFonts w:hint="eastAsia" w:ascii="宋体" w:hAnsi="宋体" w:cs="宋体"/>
                <w:b/>
                <w:i w:val="0"/>
                <w:color w:val="000000" w:themeColor="text1"/>
                <w:kern w:val="0"/>
                <w:sz w:val="22"/>
                <w:szCs w:val="22"/>
                <w:highlight w:val="none"/>
                <w:u w:val="none"/>
                <w:lang w:val="en-US" w:eastAsia="zh-CN" w:bidi="ar"/>
                <w14:textFill>
                  <w14:solidFill>
                    <w14:schemeClr w14:val="tx1"/>
                  </w14:solidFill>
                </w14:textFill>
              </w:rPr>
              <w:t>17</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90ACD1F">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达到或好于</w:t>
            </w:r>
            <w:r>
              <w:rPr>
                <w:rStyle w:val="68"/>
                <w:color w:val="000000" w:themeColor="text1"/>
                <w:highlight w:val="none"/>
                <w:lang w:val="en-US" w:eastAsia="zh-CN" w:bidi="ar"/>
                <w14:textFill>
                  <w14:solidFill>
                    <w14:schemeClr w14:val="tx1"/>
                  </w14:solidFill>
                </w14:textFill>
              </w:rPr>
              <w:t>Ⅲ类水体占地表水比例（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B9098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90</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E84555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61D98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63EF1C6">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0F254ABE">
        <w:tblPrEx>
          <w:tblCellMar>
            <w:top w:w="0" w:type="dxa"/>
            <w:left w:w="0" w:type="dxa"/>
            <w:bottom w:w="0" w:type="dxa"/>
            <w:right w:w="0" w:type="dxa"/>
          </w:tblCellMar>
        </w:tblPrEx>
        <w:trPr>
          <w:trHeight w:val="606"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AB9AE7">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18</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B1D5530">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森林覆盖率（%</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F97799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35.83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3C9630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40.3</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78DD5AF">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E5FB97">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0D06E5B9">
        <w:tblPrEx>
          <w:tblCellMar>
            <w:top w:w="0" w:type="dxa"/>
            <w:left w:w="0" w:type="dxa"/>
            <w:bottom w:w="0" w:type="dxa"/>
            <w:right w:w="0" w:type="dxa"/>
          </w:tblCellMar>
        </w:tblPrEx>
        <w:trPr>
          <w:trHeight w:val="90"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5FC5D8E">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五、安全保障</w:t>
            </w:r>
          </w:p>
        </w:tc>
      </w:tr>
      <w:tr w14:paraId="795DB050">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04621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19</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706F2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粮食综合生产能力（万吨）</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96D8AD">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2"/>
                <w:szCs w:val="22"/>
                <w:highlight w:val="none"/>
                <w:u w:val="none"/>
                <w:lang w:val="en-US"/>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17.54</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D5D8738">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2"/>
                <w:szCs w:val="22"/>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color w:val="000000" w:themeColor="text1"/>
                <w:sz w:val="21"/>
                <w:szCs w:val="21"/>
                <w:highlight w:val="none"/>
                <w:u w:val="none"/>
                <w:lang w:val="en-US" w:eastAsia="zh-CN"/>
                <w14:textFill>
                  <w14:solidFill>
                    <w14:schemeClr w14:val="tx1"/>
                  </w14:solidFill>
                </w14:textFill>
              </w:rPr>
              <w:t>18.75</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B5C560">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1995F8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5954D782">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7319AFB">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20</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FEBD8A">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能源综合生产能力（万吨标准煤）</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A64D56F">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C7398CF">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45E0B0">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2FE09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预期</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性</w:t>
            </w:r>
          </w:p>
        </w:tc>
      </w:tr>
    </w:tbl>
    <w:p w14:paraId="27FFD1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olor w:val="000000" w:themeColor="text1"/>
          <w:kern w:val="0"/>
          <w:szCs w:val="21"/>
          <w:highlight w:val="none"/>
          <w14:textFill>
            <w14:solidFill>
              <w14:schemeClr w14:val="tx1"/>
            </w14:solidFill>
          </w14:textFill>
        </w:rPr>
      </w:pPr>
    </w:p>
    <w:p w14:paraId="4BDDEA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注：1</w:t>
      </w:r>
      <w:r>
        <w:rPr>
          <w:rFonts w:hint="eastAsia" w:ascii="宋体" w:hAnsi="宋体"/>
          <w:color w:val="000000" w:themeColor="text1"/>
          <w:kern w:val="0"/>
          <w:szCs w:val="21"/>
          <w:highlight w:val="none"/>
          <w:lang w:val="en-US" w:eastAsia="zh-CN"/>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〔〕内为5年累计数。</w:t>
      </w:r>
    </w:p>
    <w:p w14:paraId="244FB18D">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2.</w:t>
      </w:r>
      <w:r>
        <w:rPr>
          <w:rFonts w:hint="eastAsia" w:ascii="宋体" w:hAnsi="宋体"/>
          <w:color w:val="000000" w:themeColor="text1"/>
          <w:kern w:val="0"/>
          <w:szCs w:val="21"/>
          <w:highlight w:val="none"/>
          <w14:textFill>
            <w14:solidFill>
              <w14:schemeClr w14:val="tx1"/>
            </w14:solidFill>
          </w14:textFill>
        </w:rPr>
        <w:t>地区生产总值2025年</w:t>
      </w:r>
      <w:r>
        <w:rPr>
          <w:rFonts w:hint="eastAsia" w:ascii="宋体" w:hAnsi="宋体"/>
          <w:color w:val="000000" w:themeColor="text1"/>
          <w:kern w:val="0"/>
          <w:szCs w:val="21"/>
          <w:highlight w:val="none"/>
          <w:lang w:eastAsia="zh-CN"/>
          <w14:textFill>
            <w14:solidFill>
              <w14:schemeClr w14:val="tx1"/>
            </w14:solidFill>
          </w14:textFill>
        </w:rPr>
        <w:t>绝对数</w:t>
      </w:r>
      <w:r>
        <w:rPr>
          <w:rFonts w:hint="eastAsia" w:ascii="宋体" w:hAnsi="宋体"/>
          <w:color w:val="000000" w:themeColor="text1"/>
          <w:kern w:val="0"/>
          <w:szCs w:val="21"/>
          <w:highlight w:val="none"/>
          <w14:textFill>
            <w14:solidFill>
              <w14:schemeClr w14:val="tx1"/>
            </w14:solidFill>
          </w14:textFill>
        </w:rPr>
        <w:t>按当年</w:t>
      </w:r>
      <w:r>
        <w:rPr>
          <w:rFonts w:hint="eastAsia" w:ascii="宋体" w:hAnsi="宋体"/>
          <w:color w:val="000000" w:themeColor="text1"/>
          <w:kern w:val="0"/>
          <w:szCs w:val="21"/>
          <w:highlight w:val="none"/>
          <w:lang w:eastAsia="zh-CN"/>
          <w14:textFill>
            <w14:solidFill>
              <w14:schemeClr w14:val="tx1"/>
            </w14:solidFill>
          </w14:textFill>
        </w:rPr>
        <w:t>价</w:t>
      </w:r>
      <w:r>
        <w:rPr>
          <w:rFonts w:hint="eastAsia" w:ascii="宋体" w:hAnsi="宋体"/>
          <w:color w:val="000000" w:themeColor="text1"/>
          <w:kern w:val="0"/>
          <w:szCs w:val="21"/>
          <w:highlight w:val="none"/>
          <w14:textFill>
            <w14:solidFill>
              <w14:schemeClr w14:val="tx1"/>
            </w14:solidFill>
          </w14:textFill>
        </w:rPr>
        <w:t>预计，增长速度为实际增速。</w:t>
      </w:r>
    </w:p>
    <w:p w14:paraId="566DD318">
      <w:pPr>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3.</w:t>
      </w:r>
      <w:r>
        <w:rPr>
          <w:rFonts w:hint="eastAsia" w:ascii="宋体" w:hAnsi="宋体"/>
          <w:color w:val="000000" w:themeColor="text1"/>
          <w:kern w:val="0"/>
          <w:szCs w:val="21"/>
          <w:highlight w:val="none"/>
          <w14:textFill>
            <w14:solidFill>
              <w14:schemeClr w14:val="tx1"/>
            </w14:solidFill>
          </w14:textFill>
        </w:rPr>
        <w:t>单位GDP能耗降幅、单位GDP二氧化碳排放降低等指标按省最终核定目标值执行。已标出的目标值为初步控制目标。</w:t>
      </w:r>
    </w:p>
    <w:p w14:paraId="79B166E5">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41" w:name="_Toc1601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第三章 </w:t>
      </w:r>
      <w:bookmarkEnd w:id="38"/>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强化东承西接重要支撑作用，融入新发展格局</w:t>
      </w:r>
      <w:bookmarkEnd w:id="39"/>
      <w:bookmarkEnd w:id="40"/>
      <w:bookmarkEnd w:id="41"/>
    </w:p>
    <w:p w14:paraId="340118AF">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利用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我市作为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“双区”向粤东辐射桥头堡、粤东融入“双区”中转站的区位优势，将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打造为珠三角与粤东地区、深圳都市圈与汕潮揭都市圈、“双区”与“海西”经济区有机衔接的枢纽</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节点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在全面接轨深圳、全力融入“双区”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和积极携手汕潮揭都市圈建设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中培育区域竞争新优势，以开放融合创新的姿态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裂变发展。</w:t>
      </w:r>
    </w:p>
    <w:p w14:paraId="57B394E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2" w:name="_Toc22489"/>
      <w:bookmarkStart w:id="43" w:name="_Toc32148"/>
      <w:bookmarkStart w:id="44" w:name="_Toc4883"/>
      <w:r>
        <w:rPr>
          <w:rFonts w:hint="eastAsia" w:ascii="黑体" w:hAnsi="黑体" w:eastAsia="黑体" w:cs="仿宋"/>
          <w:color w:val="000000" w:themeColor="text1"/>
          <w:sz w:val="32"/>
          <w:szCs w:val="32"/>
          <w:highlight w:val="none"/>
          <w14:textFill>
            <w14:solidFill>
              <w14:schemeClr w14:val="tx1"/>
            </w14:solidFill>
          </w14:textFill>
        </w:rPr>
        <w:t>第一节 全面接轨深圳</w:t>
      </w:r>
      <w:bookmarkEnd w:id="42"/>
      <w:bookmarkEnd w:id="43"/>
      <w:bookmarkEnd w:id="44"/>
    </w:p>
    <w:p w14:paraId="429C6C8D">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一、加强规划共绘，深度参与深圳都市圈建设</w:t>
      </w:r>
    </w:p>
    <w:p w14:paraId="56FB067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对接深圳都市圈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规划，系统谋划涉及都市圈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发展全局和长远发展的重大方向，在区域交通、产业共建、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社会服务、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合作机制等方面合理确定重大任务举措。统筹“陆丰所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”服务“深圳所需”，“陆丰所需”借力“深圳所优”。充分发挥陆丰比较优势，更加主动承接深圳城市功能疏解，以及产业、金融、人才、文化等各类资源溢出，强化与深圳高水平互动发展。</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C41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584D45C">
            <w:pPr>
              <w:pStyle w:val="14"/>
              <w:snapToGrid/>
              <w:spacing w:before="0" w:beforeAutospacing="0" w:after="0" w:afterAutospacing="0" w:line="480" w:lineRule="auto"/>
              <w:ind w:left="0" w:leftChars="0"/>
              <w:jc w:val="center"/>
              <w:textAlignment w:val="baseline"/>
              <w:rPr>
                <w:rFonts w:ascii="宋体" w:hAnsi="宋体" w:eastAsia="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专栏3-1 全面接轨深圳融入“双区”十大工程</w:t>
            </w:r>
          </w:p>
        </w:tc>
      </w:tr>
      <w:tr w14:paraId="07EF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BBC08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1.新型现代化交通网络工程：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围绕“建设大通道”“振兴大港航”“发展大物流”目标，加快交通基础设施建设，构建融湾拓海、立体多元、方便快捷的现代化综合交通运输体系。以高品质的交通服务体系，全面接轨深圳、全力融入“双区”建设。</w:t>
            </w:r>
          </w:p>
          <w:p w14:paraId="5529D29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2.先进制造业产业基地工程：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充分利用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我市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毗邻港澳地缘优势，承接“双区”产业外溢机遇，引进一批先进制造业重点企业，加大本土先进制造业骨干企业培育力度，打造“双区”先进制造业延伸战略腹地，建立现代产业体系，实现全市制造业高质量发展。</w:t>
            </w:r>
          </w:p>
          <w:p w14:paraId="2BF1447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3.发展海洋经济工程: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 xml:space="preserve"> 依托丰富海洋资源</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打造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粤东蓝色经济示范区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推动临港工业、能源产业、现代渔业等海洋经济高质量发展。</w:t>
            </w:r>
          </w:p>
          <w:p w14:paraId="47A2BA8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4.加快数字经济建设工程：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大力发展以5G、云数据中心为核心的数字经济，建设具有区域代表性和影响力的5G产业园，打造数字经济高质量发展新引擎。</w:t>
            </w:r>
          </w:p>
          <w:p w14:paraId="47BD632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5.大众创业、万众创新新格局工程：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利用深圳高端人才多、创新设备先进以及离岸创新成果多等优势，提升我市创新能力，构建“政产学研金介用”协同创新体系。</w:t>
            </w:r>
          </w:p>
          <w:p w14:paraId="03A5B40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6.“五城联创”亮点工程：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五城联创”为抓手，推进中心城区扩容提质，提升中心城区发展能级，改善人居环境、城市品位、城市形象。加紧启动国家园林城市、国家森林城市和国家生态文明建设示范市创建，成功创建广东省县级文明城市和广东省卫生城市。</w:t>
            </w:r>
          </w:p>
          <w:p w14:paraId="30ECFA1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7.乡村振兴工程：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充分发挥陆丰农业资源优势，紧密对接深圳、粤港澳大湾区对优质绿色农产品的需求，结合乡村振兴战略，大力发展生态农业、休闲农业和品牌农业，打造具有地方特色的优质粮食、水果、蔬菜、畜禽、水产供应基地，努力打造成为深圳乃至大湾区的“米袋子”“菜篮子”“果盘子”。</w:t>
            </w:r>
          </w:p>
          <w:p w14:paraId="35BD5B5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8.一流营商环境工程：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借助大湾区在对外开放中的功能和作用，优化营商环境，提升与大湾区市场一体化水平，推动市场准入政策、市场执法标准、市场法治环境、产业扶持政策和产业服务平台实现基本统一，形成与大湾区资源融合、优势互补、举措联动的开放格局。</w:t>
            </w:r>
          </w:p>
          <w:p w14:paraId="7DC215F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9.共建共享民生服务工程：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以满足人民对美好生活需求为出发点，加快推进教育、医疗、文化、就业等公共服务提档升级，促进优质公共服务共建共享。</w:t>
            </w:r>
          </w:p>
          <w:p w14:paraId="409D224A">
            <w:pPr>
              <w:snapToGrid/>
              <w:spacing w:before="0" w:beforeAutospacing="0" w:after="0" w:afterAutospacing="0" w:line="400" w:lineRule="exact"/>
              <w:ind w:firstLine="562" w:firstLineChars="200"/>
              <w:jc w:val="both"/>
              <w:textAlignment w:val="baseline"/>
              <w:rPr>
                <w:rFonts w:ascii="仿宋_GB2312" w:eastAsia="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10.弘扬传承红色文化工程：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保护</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利用好红色资源，全面开展革命遗址遗迹保护利用工作，奋力推动海陆丰革命老区振兴发展。</w:t>
            </w:r>
          </w:p>
        </w:tc>
      </w:tr>
    </w:tbl>
    <w:p w14:paraId="5C7C118C">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二、深化产业共兴，强化资源共享</w:t>
      </w:r>
    </w:p>
    <w:p w14:paraId="5FB7A79C">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——善用深圳罗湖区对陆丰的对口帮扶机制。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深化“总部研发在深圳、转化落地在陆丰”</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产业协同发展模式，努力融入深圳供应链、产业链、创新链和生态链。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对标学习深圳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特区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精神、理念、效率，借助深圳罗湖对口帮扶陆丰协作机制，加强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与深圳市尤其是罗湖区的全面战略合作，重点推动临港工业园区和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东海、星都产业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园区建设，推动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园区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道路、给排水、消防管网、园区供配电网、综合水泵站、污水处理站、生活办公区等公用配套设施完善，提升陆丰园区经济发展效能。进一步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促进康佳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等电子信息产业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落户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，争取布局</w:t>
      </w:r>
      <w:r>
        <w:rPr>
          <w:rFonts w:hint="default" w:ascii="Times New Roman" w:hAnsi="Times New Roman" w:eastAsia="仿宋_GB2312" w:cs="Times New Roman"/>
          <w:b w:val="0"/>
          <w:i w:val="0"/>
          <w:caps w:val="0"/>
          <w:color w:val="000000" w:themeColor="text1"/>
          <w:spacing w:val="0"/>
          <w:w w:val="100"/>
          <w:sz w:val="32"/>
          <w:szCs w:val="32"/>
          <w:highlight w:val="none"/>
          <w:u w:val="none" w:color="auto"/>
          <w:lang w:val="zh-CN"/>
          <w14:textFill>
            <w14:solidFill>
              <w14:schemeClr w14:val="tx1"/>
            </w14:solidFill>
          </w14:textFill>
        </w:rPr>
        <w:t>8K、5G、Micro LED、AI</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、半导体、</w:t>
      </w:r>
      <w:r>
        <w:rPr>
          <w:rFonts w:hint="default" w:ascii="Times New Roman" w:hAnsi="Times New Roman" w:eastAsia="仿宋_GB2312" w:cs="Times New Roman"/>
          <w:b w:val="0"/>
          <w:i w:val="0"/>
          <w:caps w:val="0"/>
          <w:color w:val="000000" w:themeColor="text1"/>
          <w:spacing w:val="0"/>
          <w:w w:val="100"/>
          <w:sz w:val="32"/>
          <w:szCs w:val="32"/>
          <w:highlight w:val="none"/>
          <w:u w:val="none" w:color="auto"/>
          <w:lang w:val="zh-CN"/>
          <w14:textFill>
            <w14:solidFill>
              <w14:schemeClr w14:val="tx1"/>
            </w14:solidFill>
          </w14:textFill>
        </w:rPr>
        <w:t>IoT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等领域的生产环节。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深圳特区共同打造发达地区带动革命老区提速发展的生动样板。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AC4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0C44EF27">
            <w:pPr>
              <w:pStyle w:val="14"/>
              <w:snapToGrid/>
              <w:spacing w:before="0" w:beforeAutospacing="0" w:after="0" w:afterAutospacing="0" w:line="480" w:lineRule="auto"/>
              <w:ind w:left="0" w:leftChars="0"/>
              <w:jc w:val="center"/>
              <w:textAlignment w:val="baseline"/>
              <w:rPr>
                <w:rFonts w:ascii="宋体" w:hAnsi="宋体" w:cs="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专栏3-2 深圳罗湖区产业特征及与深化对口帮扶的领域</w:t>
            </w:r>
          </w:p>
        </w:tc>
      </w:tr>
      <w:tr w14:paraId="366F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250222D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1.产业合作领域：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围绕“电子信息+海工装备”，形成罗湖区对陆丰对口帮扶的战略性新兴产业布局。结合罗湖区</w:t>
            </w:r>
            <w:r>
              <w:rPr>
                <w:rFonts w:hint="default" w:ascii="Times New Roman" w:hAnsi="Times New Roman" w:cs="Times New Roman" w:eastAsiaTheme="minorEastAsia"/>
                <w:b w:val="0"/>
                <w:i w:val="0"/>
                <w:caps w:val="0"/>
                <w:color w:val="000000" w:themeColor="text1"/>
                <w:spacing w:val="0"/>
                <w:w w:val="100"/>
                <w:sz w:val="28"/>
                <w:szCs w:val="28"/>
                <w:highlight w:val="none"/>
                <w:u w:val="none" w:color="auto"/>
                <w14:textFill>
                  <w14:solidFill>
                    <w14:schemeClr w14:val="tx1"/>
                  </w14:solidFill>
                </w14:textFill>
              </w:rPr>
              <w:t>“3+3+N”</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产业体系，探索在金融业、商贸业和商务服务业，珠宝首饰、文化创意和旅游业、人工智能、生命健康等若干领域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进行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产业共建。</w:t>
            </w:r>
          </w:p>
          <w:p w14:paraId="4B525E7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2.公共服务领域：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推动罗湖区教育、医疗等社会基础服务机构在陆丰合作共建各类型学校、职业技术院校、培训机构和各类型医疗设施，加强公共卫生领域的联防联</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机制。</w:t>
            </w:r>
          </w:p>
          <w:p w14:paraId="21826735">
            <w:pPr>
              <w:snapToGrid/>
              <w:spacing w:before="0" w:beforeAutospacing="0" w:after="0" w:afterAutospacing="0" w:line="400" w:lineRule="exact"/>
              <w:ind w:firstLine="562" w:firstLineChars="200"/>
              <w:jc w:val="both"/>
              <w:textAlignment w:val="baseline"/>
              <w:rPr>
                <w:rFonts w:ascii="宋体" w:hAnsi="宋体" w:cs="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3.特区+老区精神合作领域：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推动形成“特区+老区”精神教育基地，强化新时代特区敢闯敢试精神与红色艰苦奋斗，</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不忘初心</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精神的有机衔接，培育成为新时代广东人文精神内核之一，并逐步向革命历史教育、观光旅游休闲发展。</w:t>
            </w:r>
          </w:p>
        </w:tc>
      </w:tr>
    </w:tbl>
    <w:p w14:paraId="7C7ADBCA">
      <w:pPr>
        <w:snapToGrid/>
        <w:spacing w:before="0" w:beforeAutospacing="0" w:after="0" w:afterAutospacing="0" w:line="240" w:lineRule="auto"/>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——加快推动科技协同创新</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搭建创新创业孵化平台。</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主动融入深圳的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科技创新体系，加强与深圳“十四五”科技创新发展规划对接，以合作平台构建和重大项目推进为抓手，推动</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深圳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科技成果在陆丰转化。主动融入粤港澳大湾区国际科技创新中心建设，支持配合</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深圳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先行示范区建设全球海洋中心城市，积极推动研发实验基地落户陆丰。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积极引进深圳市的创新创业运营团队和孵化项目，通过改造旧厂房出租和加强规划建设创客城，重点围绕小五金、圣诞礼品、摩托车、模型玩具、服装品牌设计等行业建设一批孵化基地，打造科技企业孵化器、加速器等创新创业孵化育成平台。</w:t>
      </w:r>
    </w:p>
    <w:p w14:paraId="58949B1D">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——加强教育深度融合。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深圳学校教育资源融合共享，在智慧教育、教学研究、师资队伍建设、资源共享等方面加强合作，促进双方多元化合作，探索新模式、新途径，建立战略合作协调推进机制，打造跨区域教育合作模式高地。依托深圳教育资源优势，着力推进与深圳高水平职业院校在专业建设、人才培养等方面合作办学，争取共建一流学校，灵活实行“1+2”“2+3”“3+3”学制，支持深圳第二高级技工学校免费招收我市建档立卡贫困家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学</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生就读。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4E0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61E3BE">
            <w:pPr>
              <w:pStyle w:val="14"/>
              <w:snapToGrid/>
              <w:spacing w:before="0" w:beforeAutospacing="0" w:after="0" w:afterAutospacing="0" w:line="480" w:lineRule="auto"/>
              <w:ind w:left="0" w:leftChars="0"/>
              <w:jc w:val="center"/>
              <w:textAlignment w:val="baseline"/>
              <w:rPr>
                <w:rFonts w:hint="eastAsia"/>
                <w:b w:val="0"/>
                <w:i w:val="0"/>
                <w:caps w:val="0"/>
                <w:color w:val="000000" w:themeColor="text1"/>
                <w:spacing w:val="0"/>
                <w:w w:val="100"/>
                <w:sz w:val="30"/>
                <w:szCs w:val="30"/>
                <w:highlight w:val="none"/>
                <w:u w:val="none" w:color="auto"/>
                <w:lang w:eastAsia="zh-CN" w:bidi="ar"/>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专栏3-3 参与共建深圳都市圈的机制创新重点领域</w:t>
            </w:r>
          </w:p>
        </w:tc>
      </w:tr>
      <w:tr w14:paraId="6178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7C5D94">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1.成本共担利益共享机制：</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bidi="ar"/>
                <w14:textFill>
                  <w14:solidFill>
                    <w14:schemeClr w14:val="tx1"/>
                  </w14:solidFill>
                </w14:textFill>
              </w:rPr>
              <w:t>推动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建立跨区域产业转移、园区合作、重大基础设施建设成本分担和产值、税收共享机制。</w:t>
            </w:r>
          </w:p>
          <w:p w14:paraId="273D9D17">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共同争取部分省级审批权限</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bidi="ar"/>
                <w14:textFill>
                  <w14:solidFill>
                    <w14:schemeClr w14:val="tx1"/>
                  </w14:solidFill>
                </w14:textFill>
              </w:rPr>
              <w:t>共同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争取国家和广东省政策支持</w:t>
            </w:r>
            <w:r>
              <w:rPr>
                <w:rStyle w:val="36"/>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连同深圳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都市圈</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相关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城市制定轨道交通规划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争取国家支持重点项目用海用地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用林</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审批。</w:t>
            </w:r>
          </w:p>
          <w:p w14:paraId="39867209">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3.都市圈用地政策创新：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探索建立都市圈建设用地、补充耕地指标跨区域交易机制。建立健全城镇低效用地再开发激励约束机制和存量建设用地退出激励机制。</w:t>
            </w:r>
          </w:p>
          <w:p w14:paraId="710FC875">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4共建区域国资运营平台：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参与设立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都市圈建设基金，专项负责跨市重大基础设施投资、建设、运营、协调模式。</w:t>
            </w:r>
          </w:p>
          <w:p w14:paraId="350A135D">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5.共建统一开放的人力资源市场：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健全统一规范的人力资源市场体系，加快衔接劳动力、人才流动和交流合作机制，探索市场化的人才技能评价制度等。</w:t>
            </w:r>
          </w:p>
        </w:tc>
      </w:tr>
    </w:tbl>
    <w:p w14:paraId="61192C9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5" w:name="_Toc14671"/>
      <w:bookmarkStart w:id="46" w:name="_Toc10618"/>
      <w:bookmarkStart w:id="47" w:name="_Toc28726"/>
      <w:r>
        <w:rPr>
          <w:rFonts w:hint="eastAsia" w:ascii="黑体" w:hAnsi="黑体" w:eastAsia="黑体" w:cs="仿宋"/>
          <w:color w:val="000000" w:themeColor="text1"/>
          <w:sz w:val="32"/>
          <w:szCs w:val="32"/>
          <w:highlight w:val="none"/>
          <w14:textFill>
            <w14:solidFill>
              <w14:schemeClr w14:val="tx1"/>
            </w14:solidFill>
          </w14:textFill>
        </w:rPr>
        <w:t>第二节 全力融入“双区”</w:t>
      </w:r>
      <w:bookmarkEnd w:id="45"/>
      <w:bookmarkEnd w:id="46"/>
      <w:bookmarkEnd w:id="47"/>
    </w:p>
    <w:p w14:paraId="1EE5BCB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主动积极参与粤港澳大湾区城市群功能分工，创造条件承接大湾区产业外溢，当好大湾区城市产业转移地。</w:t>
      </w:r>
    </w:p>
    <w:p w14:paraId="501701A7">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 w:hAnsi="仿宋" w:eastAsia="仿宋" w:cs="仿宋"/>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推进融入“双区”交通基础设施建设</w:t>
      </w:r>
    </w:p>
    <w:p w14:paraId="788A83BA">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——融入“双区”铁路网建设。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构建与大湾区核心城市l小时经济圈。</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近期</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加快推进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汕汕铁路</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陆丰南站和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东站建设，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推动厦深铁路</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陆丰站扩容提质，加快站前广场项目建设。远期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利用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深汕城际</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铁路项目</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争取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串联陆丰南站、陆丰东站，东延至“三甲”片区，谋划推进陆丰市港区湖东作业区港口疏港铁路项目落地。</w:t>
      </w:r>
    </w:p>
    <w:p w14:paraId="4C5C5718">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加快深</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港码头</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规划建设</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发挥海洋区位和口岸全方位开放优势，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加快港口码头、岸线资源的整合，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在原有湖东宝丽华码头基础上，规划在甲东和湖东新增2个深水港码头，建设深水泊位码头及航道，预留疏港铁路通道。积极配合省探索开通深圳—惠州—</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海上旅游航线。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4FD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tcPr>
          <w:p w14:paraId="38493E7C">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专栏3-4 交通对接“双区”工程</w:t>
            </w:r>
          </w:p>
        </w:tc>
      </w:tr>
      <w:tr w14:paraId="0684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1E1BE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1.铁路项目：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推进汕汕铁路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，积极谋划湖东作业区港口疏港铁路。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推动厦深铁路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陆丰站扩容提质，加快站前广场项目建设。</w:t>
            </w:r>
          </w:p>
          <w:p w14:paraId="0010159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2.公路项目：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加快建设大公路、大通道，缩短与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湾区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核心城市的通勤时间。推进沈海高速公路陆丰段改扩建项目、S17揭惠高速南延线。推进国道228线甲子至南塘段、国道228线河西至星都段、国道324线内湖至城东段等一批国道升级改造项目。推进省道240线陆丰穿城段、省道510线陆丰市河西至西南段、省道238线八万至博美段路面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省道S510陆丰上英至海丰城东段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珠东快速陆丰段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广东滨海旅游公路、博美至碣石、城东经桥冲至碣石、陆丰东站和陆丰南站进站路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干线公路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建设工程。建设国、省道干线网，推动市区至汕尾市区快速通道建设，推动接入“三甲”地区高速公路建设。</w:t>
            </w:r>
          </w:p>
          <w:p w14:paraId="5988EB53">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3.港航项目：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乌坎、金厢、碣石、甲子、湖东五个渔港改扩建工程，规划打造三个10万吨深港码头。在原有宝丽华码头基础上，规划甲东、湖东新增两个深水港码头，建设深水泊位码头及航道，实施中广核陆丰海洋工程基地水工工程（码头），积极配合省探索开通海上旅游航线。</w:t>
            </w:r>
          </w:p>
        </w:tc>
      </w:tr>
    </w:tbl>
    <w:p w14:paraId="4459EA75">
      <w:pPr>
        <w:widowControl/>
        <w:snapToGrid w:val="0"/>
        <w:spacing w:before="0" w:beforeAutospacing="0" w:after="0" w:afterAutospacing="0" w:line="600" w:lineRule="exact"/>
        <w:ind w:firstLine="643" w:firstLineChars="200"/>
        <w:jc w:val="left"/>
        <w:textAlignment w:val="baseline"/>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p>
    <w:p w14:paraId="3D21FEA8">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二、建设大湾区产业配套基地</w:t>
      </w:r>
    </w:p>
    <w:p w14:paraId="57D3019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与大湾区核心城市在产业发展、科技创新等方面的合作，大力推动湾区核心城市的高端产业、高成长性企业等在陆丰转化落地，延伸壮大电力能源、电子信息、高端装备制造、海洋生物产业链，努力建设成为大湾区产业转移承接地、产业链延伸区、产业集群配套基地。</w:t>
      </w:r>
    </w:p>
    <w:p w14:paraId="77E0F74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——打造“湾+区+带”产业转移承接地。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依托星都经济开发区、东海经济开发区已有基础，发挥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土地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态等方面优势，完善基础设施建设。制定优惠投资政策，打造优质营商环境，积极承接“双区”及珠三角的优势产业转移。依托高水平产业园区和承接产业转移平台，主动对接高端装备制造、生物医药、海洋经济、循环产业、新材料等战略性新兴产业，坚持引资引智相结合，同步承接资本、技术、人才转移，着力打造“双区”先进制造业、战略性新兴产业转移的承接地、产业链延伸区和产业集群配套基地。</w:t>
      </w:r>
    </w:p>
    <w:p w14:paraId="1DC0985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加快先进制造业合作共建。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市场要素对接，推进产业合作。对标“双区”标准，以先进制造业、战略性新兴产业、临港工业、能源产业、传统优势产业为主攻方向，积极引进上下游关联配套企业，打造一批重大先进制造业产业基地，承接“双区”先进制造业产业链条延伸和产业创新发展辐射带动。大力发展“陆丰人”经济，发挥乡贤优势，</w:t>
      </w:r>
      <w:r>
        <w:rPr>
          <w:rFonts w:hint="eastAsia" w:ascii="仿宋_GB2312" w:eastAsia="仿宋_GB2312"/>
          <w:b w:val="0"/>
          <w:i w:val="0"/>
          <w:caps w:val="0"/>
          <w:color w:val="000000" w:themeColor="text1"/>
          <w:spacing w:val="-6"/>
          <w:w w:val="100"/>
          <w:sz w:val="32"/>
          <w:szCs w:val="32"/>
          <w:highlight w:val="none"/>
          <w:u w:val="none" w:color="auto"/>
          <w:lang w:val="zh-CN"/>
          <w14:textFill>
            <w14:solidFill>
              <w14:schemeClr w14:val="tx1"/>
            </w14:solidFill>
          </w14:textFill>
        </w:rPr>
        <w:t>鼓励“双区”乡贤围绕小五金、圣诞礼品、模型玩具、服装设计、</w:t>
      </w:r>
      <w:r>
        <w:rPr>
          <w:rFonts w:hint="eastAsia" w:ascii="仿宋_GB2312" w:eastAsia="仿宋_GB2312"/>
          <w:b w:val="0"/>
          <w:i w:val="0"/>
          <w:caps w:val="0"/>
          <w:color w:val="000000" w:themeColor="text1"/>
          <w:spacing w:val="-6"/>
          <w:w w:val="100"/>
          <w:sz w:val="32"/>
          <w:szCs w:val="32"/>
          <w:highlight w:val="none"/>
          <w:u w:val="none" w:color="auto"/>
          <w:lang w:val="en-US" w:eastAsia="zh-CN"/>
          <w14:textFill>
            <w14:solidFill>
              <w14:schemeClr w14:val="tx1"/>
            </w14:solidFill>
          </w14:textFill>
        </w:rPr>
        <w:t>贝雕、麦秆画</w:t>
      </w:r>
      <w:r>
        <w:rPr>
          <w:rFonts w:hint="eastAsia" w:ascii="仿宋_GB2312" w:eastAsia="仿宋_GB2312"/>
          <w:b w:val="0"/>
          <w:i w:val="0"/>
          <w:caps w:val="0"/>
          <w:color w:val="000000" w:themeColor="text1"/>
          <w:spacing w:val="-6"/>
          <w:w w:val="100"/>
          <w:sz w:val="32"/>
          <w:szCs w:val="32"/>
          <w:highlight w:val="none"/>
          <w:u w:val="none" w:color="auto"/>
          <w:lang w:val="zh-CN"/>
          <w14:textFill>
            <w14:solidFill>
              <w14:schemeClr w14:val="tx1"/>
            </w14:solidFill>
          </w14:textFill>
        </w:rPr>
        <w:t>等传统优势产业开办高成长性现代制造企业。</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 </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8D4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DC80F52">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专栏3-5 打造先进制造业产业基地工程</w:t>
            </w:r>
          </w:p>
        </w:tc>
      </w:tr>
      <w:tr w14:paraId="3E03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72907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1.海工装备产业：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推进海洋工程及装备制造产业基地建设，重点发展临港海洋工程装备制造、海洋电子信息、海洋高端装备、海洋配套服务和其他海洋新兴产业。</w:t>
            </w:r>
          </w:p>
          <w:p w14:paraId="3C0B63B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2.海洋生物产业：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发挥陆丰岸线及海洋资源丰富优势，重点发展海洋医药、工业海洋生物制品、海洋生物功能制品和海洋生化制品。</w:t>
            </w:r>
          </w:p>
          <w:p w14:paraId="1494937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3.星都经济开发区产业布局：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注重补链延链强链，打造优势产业集群，聚焦电子信息、新材料和新能源产业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13E7C304">
            <w:pPr>
              <w:snapToGrid/>
              <w:spacing w:before="0" w:beforeAutospacing="0" w:after="0" w:afterAutospacing="0" w:line="400" w:lineRule="exact"/>
              <w:ind w:firstLine="562" w:firstLineChars="200"/>
              <w:jc w:val="both"/>
              <w:textAlignment w:val="baseline"/>
              <w:rPr>
                <w:rFonts w:hint="default"/>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4.东海经济开发区扩区布局：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支持东海经济开发区扩区规划建设南塘、碣石、三甲等三个民营产业工业园，形成一区三园模式产业平台，促进传统产业集聚优化升级。</w:t>
            </w:r>
          </w:p>
        </w:tc>
      </w:tr>
    </w:tbl>
    <w:p w14:paraId="0F8DFDEC">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三、打造支撑大湾区优质生活圈建设的农产品基地</w:t>
      </w:r>
    </w:p>
    <w:p w14:paraId="6FC764C9">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对接“双区”大市场，增强优质农副产品供应和保障能力，打造粤港澳大湾区、深圳先行示范区的“米袋子”“菜篮子”“果盘子”。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面向粤港澳大湾区生活消费市场，充分挖掘我市农业发展潜力，提高农业产业化、品牌化水平，提升农产品品质，打通与“双区”的农产品产销流通渠道。</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完善农产品营销服务网络，搭建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与“双区”的农产品网络信息发布和交易平台，加快推进市粮食仓库</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建设，谋划推动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陆丰星都物流园区、南塘物流园区建设，加快线上线下融合，实现产销对接和物流匹配。</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实施扶持特供大湾区农产品及食品企业发展“五</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”工程，健全农产品大湾区营销网络，推广“农超对接”等农产品产销一体化模式，精心组织现代农业经营主体和名特优农产品参加大湾区农产品宣传推介和展示促销活动，对接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机关学校等团体单位开展集采集配，发展面向城市居民的社区便利店等零售网络；推进电子商务进农村，积极发展网络营销。</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 </w:t>
      </w:r>
    </w:p>
    <w:p w14:paraId="4D650BBA">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四、推动与大湾区城市合作机制创新</w:t>
      </w:r>
    </w:p>
    <w:p w14:paraId="539C4D4D">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加强与大湾区各市的信息共享、平台共建、机制共通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等各领域的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交流合作。进一步梳理事项清单，推动更多政府服务事项与“双区”实现“跨城通办”。</w:t>
      </w:r>
    </w:p>
    <w:p w14:paraId="5AC2F28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——完善政策协同机制。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建立重点领域制度规则和重大政策沟通协调机制，提高政策制定和执行协同性。全面实施全国市场准入负面清单，实行统一的市场准入制度。加强政策协同，在企业登记、土地管理、环境保护、投融资财税分享、人力资源管理、公共服务等政策领域建立协商机制，制定相关政策措施。建立统一规则，规范招商引资和人才招引政策。提高政策执行的协同性，强化环境联防联控、食品安全监管知识产权保护等领域的执法联动。</w:t>
      </w:r>
    </w:p>
    <w:p w14:paraId="30E478E6">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——建立投融资保障机制。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争取中央支持优先发行服务于深圳都市圈建设的地方政府专项债，支持跨区域的基础设施、新兴产业发展等重点领域项目的建设。鼓励各类金融机构通过市场化渠道，为跨区域投资的重大项目和重点企业提供金融支持。</w:t>
      </w:r>
    </w:p>
    <w:p w14:paraId="77A050B2">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——推进医疗健康协作。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各城市实现医疗卫生资源深度共享和卫生健康信息系统进一步对接，争取实现预约挂号、检验检查、健康档案、免疫接种、妇幼保健、公共卫生等资源共享、信息互通、结果互认。加快全市医疗机构“互联网+医疗健康”建设应用水平。深化我市医疗机构与大湾区公立医院的合作机制，共建“互联网+”医联体。建立卫生应急合作机制，提升突发卫生应急处置、紧急医学救援能力，实施重大公共卫生联防联控。</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84F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41B523A">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专栏3-6 加强与大湾区医院交流重点工程</w:t>
            </w:r>
          </w:p>
        </w:tc>
      </w:tr>
      <w:tr w14:paraId="133B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7984F15">
            <w:pPr>
              <w:pStyle w:val="14"/>
              <w:snapToGrid/>
              <w:spacing w:before="0" w:beforeAutospacing="0" w:after="0" w:afterAutospacing="0" w:line="400" w:lineRule="exact"/>
              <w:ind w:left="0" w:leftChars="0"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加强与广州中医药大学第一附属医院、广州医科大学附属第三医院、深圳市人民医院等医院医学教育、人才培养培训、远程医疗等方面的合作，引进或培养一批名医、学科带头人。</w:t>
            </w:r>
          </w:p>
        </w:tc>
      </w:tr>
    </w:tbl>
    <w:p w14:paraId="2981EF84">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加强</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文</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体交流</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在文化、体育会展等方面的交流合作。以举办特色文化展演活动等形式，推动正字戏、皮影戏、渔歌等非物质文化遗产进入大湾区文化舞台。以周恩来渡海处、周恩来养病旧址为重点的红色旅游为引领，加大与大湾区联合开展红色教育培训和举办革命传统教育、红色文化系列活动，为大湾区干部群众提供红色教育培训和实践基地。保护挖掘、开发利用好红色资源，加快打造红色文化传承弘扬工程，全面开展革命遗址遗迹保护利用工作。夯实牢固的思想道德基础，建设良好的经济社会发展八大环境和完善长效常态的创建工作机制。</w:t>
      </w:r>
    </w:p>
    <w:p w14:paraId="52813B0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——深化人才交流合作。</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做好与</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人才交流对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接，采取双向挂职、两地培训、委托培养等方式，争取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大对我市人才工作帮扶支持。聚焦解决人才发展中突出问题，打好人才“引、育、留、用”组合拳，立足重点产业和社会民生事业发展实际，大力引进党政、企业经营管理、专业技术高层次、急需紧缺性等领域方面人才，全面优化人才结构、壮大人才队伍，强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高质量发展人才保障。</w:t>
      </w:r>
    </w:p>
    <w:p w14:paraId="0889C70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8" w:name="_Toc22686"/>
      <w:bookmarkStart w:id="49" w:name="_Toc21800"/>
      <w:bookmarkStart w:id="50" w:name="_Toc7295"/>
      <w:r>
        <w:rPr>
          <w:rFonts w:hint="eastAsia" w:ascii="黑体" w:hAnsi="黑体" w:eastAsia="黑体" w:cs="仿宋"/>
          <w:color w:val="000000" w:themeColor="text1"/>
          <w:sz w:val="32"/>
          <w:szCs w:val="32"/>
          <w:highlight w:val="none"/>
          <w14:textFill>
            <w14:solidFill>
              <w14:schemeClr w14:val="tx1"/>
            </w14:solidFill>
          </w14:textFill>
        </w:rPr>
        <w:t>第三节 积极携手汕潮揭</w:t>
      </w:r>
      <w:bookmarkEnd w:id="48"/>
      <w:bookmarkEnd w:id="49"/>
      <w:bookmarkEnd w:id="50"/>
    </w:p>
    <w:p w14:paraId="05531708">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——积极参与汕潮揭都市圈重大项目建设。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与汕潮揭都市圈在综合发展规划以及国土空间、产业发展、城市功能、生态环保、设施网络、公共服务等领域的规划衔接，加强统一市场建设、基础设施一体高效、公共服务共建共享、产业专业化分工协作、生态环境共保共治，提高与汕潮揭都市圈三个城市协同联动发展水平。积极对接服务汕头省域副中心城市建设，密切与汕头联系，学习借鉴汕头经济特区宝贵发展经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推进汕汕高铁（陆丰段）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谋划推动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湖东疏港铁路等项目建设，全面融入汕潮揭一小时经济圈。加强与汕潮揭在能源、文旅产业的协同合作，支持陆丰优势企业参与汕潮揭都市圈生物医药、石化、新能源等重大项目建设，积极落实省委省政府关于大南海石化项目扩区的意见，承接大南海石化产业的溢出，在甲</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规划建设大南海石化产业园汕尾东海岸石化基地，发展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材料和精细化工产业。</w:t>
      </w:r>
    </w:p>
    <w:p w14:paraId="4021073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——加强与</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周边城市的协同</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做好“海洋、海岸、海港”三篇文章，科学划定全市“三区三线”，统筹城镇、农业生态空间，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周边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城市交通互联互通，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强化承接周边城市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优势产业外溢</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国土空间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保障能力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。发挥岸线资源优势，积极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港航</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的深度合作，以组合港的模式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港群。</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52A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BE05358">
            <w:pPr>
              <w:pStyle w:val="15"/>
              <w:snapToGrid/>
              <w:spacing w:before="0" w:beforeAutospacing="0" w:after="0" w:afterAutospacing="0" w:line="360" w:lineRule="auto"/>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专栏3-7 加强对周边城市规划对接主要领域</w:t>
            </w:r>
          </w:p>
        </w:tc>
      </w:tr>
      <w:tr w14:paraId="57A3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ED2B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1.多层级国土空间规划对接：</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跟踪参与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完成《潮汕揭都市圈国土空间规划》、《汕尾市国土空间规划》、《陆丰市国土空间规划》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编制</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。组织探索建立统一编制、联合报批、共同实施的规划管理体制，推动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形成</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都市圈内国土空间规划“一张图”。</w:t>
            </w:r>
          </w:p>
          <w:p w14:paraId="357D7624">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2.重点领域国土空间保障：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在基础设施互联互通、科技产业协同发展、生态环境共保共治等领域共同编制规划，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共同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出台创新、产业、人才、投融资、金融等领域的配套政策和改革措施。</w:t>
            </w:r>
          </w:p>
        </w:tc>
      </w:tr>
    </w:tbl>
    <w:p w14:paraId="2DDDD7B7">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51" w:name="_Toc32718"/>
      <w:bookmarkStart w:id="52" w:name="_Toc4489"/>
      <w:bookmarkStart w:id="53" w:name="_Toc32002"/>
      <w:bookmarkStart w:id="54" w:name="_Toc14700"/>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第四章 </w:t>
      </w:r>
      <w:bookmarkEnd w:id="5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深入贯彻创新发展战略，打造高质量发展新引擎</w:t>
      </w:r>
      <w:bookmarkEnd w:id="52"/>
      <w:bookmarkEnd w:id="53"/>
      <w:bookmarkEnd w:id="54"/>
    </w:p>
    <w:p w14:paraId="26E9F0AA">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深入实施创新驱动发展战略，补齐创新短板，着力提高经济增长的质量和效益，实现经济发展新旧动能转换。积极融入大湾区创新体系，推动大湾区科研成果在陆丰转化。</w:t>
      </w:r>
    </w:p>
    <w:p w14:paraId="7C4C9E8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55" w:name="_Toc15912"/>
      <w:bookmarkStart w:id="56" w:name="_Toc16992_WPSOffice_Level3"/>
      <w:bookmarkStart w:id="57" w:name="_Toc10017"/>
      <w:bookmarkStart w:id="58" w:name="_Toc29040"/>
      <w:bookmarkStart w:id="59" w:name="_Toc21066"/>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55"/>
      <w:bookmarkEnd w:id="56"/>
      <w:r>
        <w:rPr>
          <w:rFonts w:hint="eastAsia" w:ascii="黑体" w:hAnsi="黑体" w:eastAsia="黑体" w:cs="仿宋"/>
          <w:color w:val="000000" w:themeColor="text1"/>
          <w:sz w:val="32"/>
          <w:szCs w:val="32"/>
          <w:highlight w:val="none"/>
          <w14:textFill>
            <w14:solidFill>
              <w14:schemeClr w14:val="tx1"/>
            </w14:solidFill>
          </w14:textFill>
        </w:rPr>
        <w:t>加快培育创新平台</w:t>
      </w:r>
      <w:bookmarkEnd w:id="57"/>
      <w:bookmarkEnd w:id="58"/>
      <w:bookmarkEnd w:id="59"/>
    </w:p>
    <w:p w14:paraId="59CFD7A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——发挥科技创新引领作用，加快创新载体建设。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主动融入粤港澳大湾区国际科技创新中心建设，充分利用深圳罗湖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口帮扶的政策优势和深圳人才、技术、共享科研设备等创新资源优势，发展创新研发飞地模式，支持陆丰优势企业组织创新团队入驻深圳（汕尾）创新岛，促进形成“研发设计在深圳、转化落地在陆丰”的创新生态。</w:t>
      </w:r>
      <w:r>
        <w:rPr>
          <w:rFonts w:hint="eastAsia" w:ascii="仿宋_GB2312" w:eastAsia="仿宋_GB2312"/>
          <w:color w:val="000000" w:themeColor="text1"/>
          <w:sz w:val="32"/>
          <w:szCs w:val="32"/>
          <w:highlight w:val="none"/>
          <w14:textFill>
            <w14:solidFill>
              <w14:schemeClr w14:val="tx1"/>
            </w14:solidFill>
          </w14:textFill>
        </w:rPr>
        <w:t>加快先进能源广东省实验室汕尾分中心建设步伐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，谋划现代农业产业技术研究中心，加大力度推动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陆丰产业转移园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申创省级高新区。扶持和培育高新技术企业，壮大高新技术企业数量和规模。</w:t>
      </w:r>
    </w:p>
    <w:p w14:paraId="5654D80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——加快产业园区孵化育成平台建设。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鼓励政府和社会资本合作投资建设和运营孵化育成平台，推进东海经济开发区、星都经济开发区、海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洋</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程</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三甲地区工业园区及</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南塘等三个民营工业园区孵化育成平台建设；支持孵化机构以市场化手段集聚创新团队、创业项目、风（创）投机构等各类要素，形成“苗圃--孵化--加速”的科创企业孵化链条和“多元化、集成式”的孵化模式，并进一步加以完善专业镇的平台体系和特色产业基地的平台建设。</w:t>
      </w:r>
      <w:bookmarkStart w:id="60" w:name="_Toc19580_WPSOffice_Level3"/>
    </w:p>
    <w:p w14:paraId="71B9583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61" w:name="_Toc16046"/>
      <w:bookmarkStart w:id="62" w:name="_Toc18839"/>
      <w:bookmarkStart w:id="63" w:name="_Toc3021"/>
      <w:bookmarkStart w:id="64" w:name="_Toc20121"/>
      <w:r>
        <w:rPr>
          <w:rFonts w:hint="eastAsia" w:ascii="黑体" w:hAnsi="黑体" w:eastAsia="黑体" w:cs="仿宋"/>
          <w:color w:val="000000" w:themeColor="text1"/>
          <w:sz w:val="32"/>
          <w:szCs w:val="32"/>
          <w:highlight w:val="none"/>
          <w14:textFill>
            <w14:solidFill>
              <w14:schemeClr w14:val="tx1"/>
            </w14:solidFill>
          </w14:textFill>
        </w:rPr>
        <w:t>第二节</w:t>
      </w:r>
      <w:bookmarkEnd w:id="60"/>
      <w:r>
        <w:rPr>
          <w:rFonts w:hint="eastAsia" w:ascii="黑体" w:hAnsi="黑体" w:eastAsia="黑体" w:cs="仿宋"/>
          <w:color w:val="000000" w:themeColor="text1"/>
          <w:sz w:val="32"/>
          <w:szCs w:val="32"/>
          <w:highlight w:val="none"/>
          <w14:textFill>
            <w14:solidFill>
              <w14:schemeClr w14:val="tx1"/>
            </w14:solidFill>
          </w14:textFill>
        </w:rPr>
        <w:t xml:space="preserve"> </w:t>
      </w:r>
      <w:bookmarkEnd w:id="61"/>
      <w:r>
        <w:rPr>
          <w:rFonts w:hint="eastAsia" w:ascii="黑体" w:hAnsi="黑体" w:eastAsia="黑体" w:cs="仿宋"/>
          <w:color w:val="000000" w:themeColor="text1"/>
          <w:sz w:val="32"/>
          <w:szCs w:val="32"/>
          <w:highlight w:val="none"/>
          <w14:textFill>
            <w14:solidFill>
              <w14:schemeClr w14:val="tx1"/>
            </w14:solidFill>
          </w14:textFill>
        </w:rPr>
        <w:t>提高企业自主创新能力</w:t>
      </w:r>
      <w:bookmarkEnd w:id="62"/>
      <w:bookmarkEnd w:id="63"/>
      <w:bookmarkEnd w:id="64"/>
    </w:p>
    <w:p w14:paraId="48C3B26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企业创新主体地位，实施“高企与科技型中小企业双倍增”计划，培育一批高成长性高新技术企业，鼓励具备条件的企业积极申报高新技术企业认定。加强科技型企业扶持力度，通过给予企业研发财政补助、发放创新券、实施科技项目等措施引导企业加大科技投入，促进企业进行自主创新能力建设，提升企业竞争力。支持企业申请专利，加强知识产权保护，围绕新材料、生物医药、新能源等战略性新兴产业开展核心技术攻关，提升创新能力。鼓励有条件的企业建立博士、博士后科研工作站，建设研发机构，积极开展省级企业重点实验室、省级工程技术研究中心、省级新型研发机构、省级企业技术中心申报工作，推进产学研深度融合。</w:t>
      </w:r>
    </w:p>
    <w:p w14:paraId="17BD986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65" w:name="_Toc2012"/>
      <w:bookmarkStart w:id="66" w:name="_Toc18207_WPSOffice_Level3"/>
      <w:bookmarkStart w:id="67" w:name="_Toc24357"/>
      <w:bookmarkStart w:id="68" w:name="_Toc8485"/>
      <w:bookmarkStart w:id="69" w:name="_Toc21169"/>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65"/>
      <w:bookmarkEnd w:id="66"/>
      <w:r>
        <w:rPr>
          <w:rFonts w:hint="eastAsia" w:ascii="黑体" w:hAnsi="黑体" w:eastAsia="黑体" w:cs="仿宋"/>
          <w:color w:val="000000" w:themeColor="text1"/>
          <w:sz w:val="32"/>
          <w:szCs w:val="32"/>
          <w:highlight w:val="none"/>
          <w14:textFill>
            <w14:solidFill>
              <w14:schemeClr w14:val="tx1"/>
            </w14:solidFill>
          </w14:textFill>
        </w:rPr>
        <w:t>激发人才创新活力</w:t>
      </w:r>
      <w:bookmarkEnd w:id="67"/>
      <w:bookmarkEnd w:id="68"/>
      <w:bookmarkEnd w:id="69"/>
    </w:p>
    <w:p w14:paraId="390A4BF0">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ascii="Times New Roman" w:hAnsi="Times New Roman" w:eastAsia="仿宋_GB2312"/>
          <w:b w:val="0"/>
          <w:i w:val="0"/>
          <w:caps w:val="0"/>
          <w:color w:val="000000" w:themeColor="text1"/>
          <w:spacing w:val="0"/>
          <w:w w:val="100"/>
          <w:sz w:val="32"/>
          <w:szCs w:val="32"/>
          <w:highlight w:val="none"/>
          <w:u w:val="none" w:color="auto"/>
          <w14:textFill>
            <w14:solidFill>
              <w14:schemeClr w14:val="tx1"/>
            </w14:solidFill>
          </w14:textFill>
        </w:rPr>
        <w:t>贯彻尊重劳动、尊重知识、尊重人才、尊重创造方针，实施人才强市战略，健全配套服务体系，完善聚才引才用才机制。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制定科技人才发展战略目标和人才发展规划。强化与粤港澳大湾区和深圳先行示范区人才交流合作，优化高端人才引进政策，加大高端人才团队引进力度，实施《陆丰市人才计划》，培育聚集高水平的科技人才队伍。推进技术创新研发中心建设和科技项目入驻产业园区，重点引入一批硕士、博士，设立博士、博士后科研站，完善社会保障、公共服务、法治环境、行政管理等人才后勤配套服务，提升对中高端科技人才吸引力。加强培养创新型、技能型人才，支持陆丰高级技工学校建设，联合广州、深圳推动高职院校加强科技产业高技能人才培养。</w:t>
      </w:r>
    </w:p>
    <w:p w14:paraId="6A0A39D5">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70" w:name="_Toc13682_WPSOffice_Level3"/>
      <w:bookmarkStart w:id="71" w:name="_Toc9997"/>
      <w:bookmarkStart w:id="72" w:name="_Toc8617"/>
      <w:bookmarkStart w:id="73" w:name="_Toc6294"/>
      <w:bookmarkStart w:id="74" w:name="_Toc32030"/>
      <w:r>
        <w:rPr>
          <w:rFonts w:hint="eastAsia" w:ascii="黑体" w:hAnsi="黑体" w:eastAsia="黑体" w:cs="仿宋"/>
          <w:color w:val="000000" w:themeColor="text1"/>
          <w:sz w:val="32"/>
          <w:szCs w:val="32"/>
          <w:highlight w:val="none"/>
          <w14:textFill>
            <w14:solidFill>
              <w14:schemeClr w14:val="tx1"/>
            </w14:solidFill>
          </w14:textFill>
        </w:rPr>
        <w:t xml:space="preserve">第四节 </w:t>
      </w:r>
      <w:bookmarkEnd w:id="70"/>
      <w:bookmarkEnd w:id="71"/>
      <w:r>
        <w:rPr>
          <w:rFonts w:hint="eastAsia" w:ascii="黑体" w:hAnsi="黑体" w:eastAsia="黑体" w:cs="仿宋"/>
          <w:color w:val="000000" w:themeColor="text1"/>
          <w:sz w:val="32"/>
          <w:szCs w:val="32"/>
          <w:highlight w:val="none"/>
          <w14:textFill>
            <w14:solidFill>
              <w14:schemeClr w14:val="tx1"/>
            </w14:solidFill>
          </w14:textFill>
        </w:rPr>
        <w:t>健全科技创新机制体制</w:t>
      </w:r>
      <w:bookmarkEnd w:id="72"/>
      <w:bookmarkEnd w:id="73"/>
      <w:bookmarkEnd w:id="74"/>
    </w:p>
    <w:p w14:paraId="40AE9D56">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基础研究+技术攻关+成果产业化+科技金融”全过程创新生态链，推动创新链、产业链、资本链有机融合和全面贯通。加强基础研发，营造鼓励基础研究、崇尚科学、探索真理的社会氛围，提升原始创新能力。推动应用牵引，促进创新科技与产业深度融合，丰富应用场景，加快新产业、新业态、新模式和新技术的探索与实践，在实际应用中推动进一步创新。推动科技与金融深度融合，加强知识产权保护，促进科技成果转移转换。持续加大研发投入，加快建立以政府投入为引导，社会资金投入为主体，企业、高校和科研院所等机构共同参与建设的多元化投入机制，激发研发积极性。完善金融支持创新体系，围绕创新链和产业链打造资金链，形成金融、科技和产业良性循环的三角互动，促进新技术产业化规模化应用。</w:t>
      </w:r>
    </w:p>
    <w:p w14:paraId="1A4667B7">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75" w:name="_Toc22076"/>
      <w:bookmarkStart w:id="76" w:name="_Toc12265"/>
      <w:bookmarkStart w:id="77" w:name="_Toc18214"/>
      <w:bookmarkStart w:id="78" w:name="_Toc3210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第五章 </w:t>
      </w:r>
      <w:bookmarkEnd w:id="75"/>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坚决贯彻新发展理念，加快构建现代产业体系</w:t>
      </w:r>
      <w:bookmarkEnd w:id="76"/>
      <w:bookmarkEnd w:id="77"/>
      <w:bookmarkEnd w:id="78"/>
    </w:p>
    <w:p w14:paraId="4F71C90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陆海统筹聚集临港产业，积极承接产业转移外溢，畅通产业循环、市场循环和经济社会循环，着力打造大湾区重要产业“协作区”，构建自主可控、安全可靠的产业链供应链，融入大湾区产业分工体系，提升发展先进制造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现代服务业发展水平，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积极发展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海洋经济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数字经济，加快形成借助“双区”外力，迸发陆丰内力，强劲改革动力，全面提升经济活力的裂变发展新局面。</w:t>
      </w:r>
    </w:p>
    <w:p w14:paraId="19CFF826">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79" w:name="_Toc24282"/>
      <w:bookmarkStart w:id="80" w:name="_Toc10019"/>
      <w:bookmarkStart w:id="81" w:name="_Toc17472"/>
      <w:bookmarkStart w:id="82" w:name="_Toc21196"/>
      <w:r>
        <w:rPr>
          <w:rFonts w:hint="eastAsia" w:ascii="黑体" w:hAnsi="黑体" w:eastAsia="黑体" w:cs="仿宋"/>
          <w:color w:val="000000" w:themeColor="text1"/>
          <w:sz w:val="32"/>
          <w:szCs w:val="32"/>
          <w:highlight w:val="none"/>
          <w14:textFill>
            <w14:solidFill>
              <w14:schemeClr w14:val="tx1"/>
            </w14:solidFill>
          </w14:textFill>
        </w:rPr>
        <w:t>第一节 提升发展先进制造业</w:t>
      </w:r>
      <w:bookmarkEnd w:id="79"/>
      <w:bookmarkEnd w:id="80"/>
      <w:bookmarkEnd w:id="81"/>
      <w:r>
        <w:rPr>
          <w:rFonts w:hint="eastAsia" w:ascii="黑体" w:hAnsi="黑体" w:eastAsia="黑体" w:cs="仿宋"/>
          <w:color w:val="000000" w:themeColor="text1"/>
          <w:sz w:val="32"/>
          <w:szCs w:val="32"/>
          <w:highlight w:val="none"/>
          <w14:textFill>
            <w14:solidFill>
              <w14:schemeClr w14:val="tx1"/>
            </w14:solidFill>
          </w14:textFill>
        </w:rPr>
        <w:t>与战略性新兴产业</w:t>
      </w:r>
      <w:bookmarkEnd w:id="82"/>
    </w:p>
    <w:p w14:paraId="60AB48E4">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把握新一轮科技革命和产业变革发展机遇，坚持工业强市，以大产业大项目为抓手，巩固提升支柱产业，做大做强新能源产业，加速传统产业转型升级，着力强化重点行业关键环节的稳链补链强链，推动制造业集聚化跨越式发展。</w:t>
      </w:r>
    </w:p>
    <w:p w14:paraId="6386BF95">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——打造国家级能源基地。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高位推进新能源产业发展，推动煤炭消费尽早达峰，围绕打造粤东沿海经济带千亿级产业集群，大手笔大气魄打造“万亩千亿”月亮型大项目。全力推进核电产业发展，积极支持陆丰核电项目取得国家核准, 加快陆丰核电项目1、2号机组、陆丰核电项目5、6号机组项目建设，积极引进CAP1400自主核电技术、小型堆等三代核电技术，推进建设核电研发中心研究所，重点围绕核能综合利用、核级装备材料、辐射防护与大容量储能等领域开展研发工作，实现陆丰核电产业腾飞。提高海上风电核心竞争力，依托后湖和甲子海上风电项目，打造包括风电技术研发、风电场施工建设和运营维护、勘察设计、防腐材料、大型设备物流等在内的风电全产业体系，重点引进主机、法兰、齿轮箱、叶片、轴承、控制系统等和相关生产性服务企业，构造强大的陆丰海上风电特色产业链。加快发展高效火电产业，依托已有陆丰甲湖湾火电项目带动甲湖湾电厂3、4号机组项目和宝丽华甲湖湾能源基地项目建设，关闭效能低、污染重的小火电机组，推进高效能、高可靠性的大机组，支持火电企业建立燃料智能化管理系统，降低大气污染排放，推进火电产业绿色发展。创新发展光伏发电产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将海上漂浮发电项目与水产养殖相结合，发展海上牧场，通过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渔光互补”光伏发电项目，促进形成“上面发电，下面养鱼”的发电新模式，提升养殖户综合效益，减少水污染和大气污染。全力搭建以海上风电为特色，核电、光电火电联动发展的能源产业集群，打造国家级能源基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E1F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F726170">
            <w:pPr>
              <w:snapToGrid/>
              <w:spacing w:before="0" w:beforeAutospacing="0" w:after="0" w:afterAutospacing="0" w:line="400" w:lineRule="exact"/>
              <w:jc w:val="center"/>
              <w:textAlignment w:val="baseline"/>
              <w:rPr>
                <w:rFonts w:ascii="仿宋_GB2312" w:eastAsia="仿宋_GB2312"/>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专栏5-1 “十四五”时期重大能源布局</w:t>
            </w:r>
          </w:p>
        </w:tc>
      </w:tr>
      <w:tr w14:paraId="0E5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E58A030">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1.核电：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主要在碣石镇规划建设百万千瓦级核电机组，重点推进陆丰核电项目1、2号机组和陆丰核电项目5、6号机组建设。</w:t>
            </w:r>
          </w:p>
          <w:p w14:paraId="1EA2FE45">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2.风电：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主要在碣石镇、甲子镇搭建海上风电发电厂，配套建设海上升压站、集电海缆、登陆海缆，重点推进</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后湖、</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甲子一二海上风电场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谋划推动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中广核汕尾碣石海上风电场项目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甲子三海上风电场项目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和深海风电场项目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建设。</w:t>
            </w:r>
          </w:p>
          <w:p w14:paraId="273FB960">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3.火电：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规划建设百万千瓦级火电机组，重点推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陆丰甲湖湾电厂3、4号机组建设。</w:t>
            </w:r>
          </w:p>
          <w:p w14:paraId="35F08678">
            <w:pPr>
              <w:pStyle w:val="6"/>
              <w:snapToGrid/>
              <w:spacing w:before="0" w:beforeAutospacing="0" w:after="0" w:afterAutospacing="0" w:line="400" w:lineRule="exact"/>
              <w:ind w:firstLine="562" w:firstLineChars="200"/>
              <w:jc w:val="both"/>
              <w:textAlignment w:val="baseline"/>
              <w:rPr>
                <w:rFonts w:hint="eastAsia" w:ascii="仿宋_GB2312" w:eastAsia="仿宋_GB2312"/>
                <w:b w:val="0"/>
                <w:bCs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4.光电：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重点推进中广核陆丰市内洋一期120MW渔光互补光伏发电项目。</w:t>
            </w:r>
          </w:p>
        </w:tc>
      </w:tr>
    </w:tbl>
    <w:p w14:paraId="301AF4B8">
      <w:pPr>
        <w:snapToGrid/>
        <w:spacing w:before="0" w:beforeAutospacing="0" w:after="0" w:afterAutospacing="0" w:line="240" w:lineRule="auto"/>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——打造民营经济发展新引擎。</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大力发展“陆丰人”经济，充分发挥乡贤优势，实现“百企回陆，千商返乡”，</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以东海经济开发区扩园规划为契机，将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三甲地区工业园区及</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碣石、南塘等三个民营工业园区</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列入东海经济开发区，实现一区多园</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形成民营工业“金三角”，着重建设家具配件产业园、电镀城、产品检测中心和展览中心等项目，推动五金、塑料、服装等传统产业企业集聚，解决环保问题，为企业转型升级发展创建有利条件和良好平台。推进园区工业用地“标准地”建设，全面实施“亩均论英雄”改革，促进园区土地集约节约、高效利用，吸引电子信息、新能源新材料、生物制药等产业链上下游企业集聚，提高产业层次。着力优化营商环境，通过“三旧”改造打造连片商贸市场，活跃商贸氛围。鼓励在碣石镇和三甲地区利用改造出租旧厂房搭建孵化基地众创空间，重点围绕小五金、圣诞礼品、模型玩具、服装品牌设计等行业创建产品孵化基地，组建创新技术研发团队。大力实施市场主体培育三年行动计划，加快推动“个转企”“小升规”“规转股”“股上市”，制定“四上”企业奖励扶持政策，力促企业做大做强。</w:t>
      </w:r>
    </w:p>
    <w:tbl>
      <w:tblPr>
        <w:tblStyle w:val="26"/>
        <w:tblpPr w:leftFromText="180" w:rightFromText="180" w:vertAnchor="text" w:horzAnchor="page" w:tblpXSpec="center" w:tblpY="24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1B9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2E347F7E">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5-2“十四五”期间民营经济产业园布局</w:t>
            </w:r>
          </w:p>
        </w:tc>
      </w:tr>
      <w:tr w14:paraId="2CAB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55248F9B">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三甲地区工业园区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三甲地区工业园，建设标准厂房，包括综合服务区、生产车间和加工区、产品存放区、原料存放区、员工宿舍、配电用房、消防、园区内外道路及配套工程；建设污水处理厂和垃圾中转站；建设停车场、公共发货区；建设商业后勤服务区及配套设施。建设以引导五金塑料家具配件产业集聚发展的五金产业园区厂房、市场交易平台、展厅、仓库等，形成五金家具配件行业产、供、销、展一条龙的现代化产业平台。</w:t>
            </w:r>
          </w:p>
          <w:p w14:paraId="5D9940CF">
            <w:pPr>
              <w:widowControl/>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2.</w:t>
            </w:r>
            <w:r>
              <w:rPr>
                <w:rStyle w:val="57"/>
                <w:rFonts w:hint="eastAsia" w:asciiTheme="minorEastAsia" w:hAnsiTheme="minorEastAsia" w:eastAsiaTheme="minorEastAsia" w:cstheme="minorEastAsia"/>
                <w:b/>
                <w:bCs/>
                <w:i w:val="0"/>
                <w:caps w:val="0"/>
                <w:color w:val="000000" w:themeColor="text1"/>
                <w:spacing w:val="0"/>
                <w:w w:val="100"/>
                <w:kern w:val="2"/>
                <w:sz w:val="28"/>
                <w:szCs w:val="28"/>
                <w:highlight w:val="none"/>
                <w:u w:val="none" w:color="auto"/>
                <w:lang w:val="en-US" w:eastAsia="zh-CN" w:bidi="ar-SA"/>
                <w14:textFill>
                  <w14:solidFill>
                    <w14:schemeClr w14:val="tx1"/>
                  </w14:solidFill>
                </w14:textFill>
              </w:rPr>
              <w:t>陆丰市东海经济开发区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南塘民营工业园：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打造南塘镇民营工业园，主要发展农林牧副渔产品加工业，服装、家具、电子、饰品等手工业。</w:t>
            </w:r>
          </w:p>
          <w:p w14:paraId="520801A9">
            <w:pPr>
              <w:pStyle w:val="6"/>
              <w:snapToGrid/>
              <w:spacing w:before="0" w:beforeAutospacing="0" w:after="0" w:afterAutospacing="0" w:line="400" w:lineRule="exact"/>
              <w:ind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w:t>
            </w:r>
            <w:r>
              <w:rPr>
                <w:rStyle w:val="57"/>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14:textFill>
                  <w14:solidFill>
                    <w14:schemeClr w14:val="tx1"/>
                  </w14:solidFill>
                </w14:textFill>
              </w:rPr>
              <w:t>陆丰市东海经济开发区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碣石民营工业园：</w:t>
            </w:r>
            <w:r>
              <w:rPr>
                <w:rStyle w:val="57"/>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打造碣石镇民营工业园，引进与服装、圣诞饰品、模型玩具、摩托车配件有关企业，进行有序的市场分工，对外行程聚集效应，力争建成国内一流、具有较强国际竞争力的产业园。</w:t>
            </w:r>
          </w:p>
        </w:tc>
      </w:tr>
    </w:tbl>
    <w:p w14:paraId="23CE1E8D">
      <w:pPr>
        <w:pStyle w:val="6"/>
        <w:snapToGrid/>
        <w:spacing w:before="0" w:beforeAutospacing="0" w:after="0" w:afterAutospacing="0" w:line="240" w:lineRule="auto"/>
        <w:ind w:firstLine="643" w:firstLineChars="200"/>
        <w:jc w:val="both"/>
        <w:textAlignment w:val="baseline"/>
        <w:rPr>
          <w:rFonts w:ascii="Calibri" w:hAnsi="Calibri"/>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——培育壮大战略性新兴产业。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聚焦新一代信息技术产业、新材料、新能源等战略性新兴产业，大力培育新技术、新产品、新业态、新模式，加快形成产业发展新引擎。主动对接珠江东岸高端电子信息制造产业带，瞄准500强和大湾区先进整车及零部件企业开展招商引资，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康佳电子、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路华电子、比德能源扩大生产和技术研发，招引上下游配套企业，重点加快布局集成电路、电子及元器件、信息通信设备、新型显示器等领域的制造中心。增创新材料产业的新发展优势，依托汕尾高新区星都园区，构建新材料形成产业、新材料技术及装备制造产业、传统材料技术提升产业三大新材料产业集群，打造以装配式钢结构、高分子复合材料等产业为基础，环保科技产业、危废物品处理产业为配套的陆丰特色新材料产业链。谋划引进一批纯电动乘用车企业、实力较强的动力电池及材料、车用电机企业等，推动发展新能源汽车相关产业。</w:t>
      </w:r>
    </w:p>
    <w:p w14:paraId="60D1B6B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83" w:name="_Toc5196"/>
      <w:bookmarkStart w:id="84" w:name="_Toc9025"/>
      <w:bookmarkStart w:id="85" w:name="_Toc31679"/>
      <w:bookmarkStart w:id="86" w:name="_Toc4369"/>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83"/>
      <w:r>
        <w:rPr>
          <w:rFonts w:hint="eastAsia" w:ascii="黑体" w:hAnsi="黑体" w:eastAsia="黑体" w:cs="仿宋"/>
          <w:color w:val="000000" w:themeColor="text1"/>
          <w:sz w:val="32"/>
          <w:szCs w:val="32"/>
          <w:highlight w:val="none"/>
          <w14:textFill>
            <w14:solidFill>
              <w14:schemeClr w14:val="tx1"/>
            </w14:solidFill>
          </w14:textFill>
        </w:rPr>
        <w:t>提升现代服务业发展水平</w:t>
      </w:r>
      <w:bookmarkEnd w:id="84"/>
      <w:bookmarkEnd w:id="85"/>
      <w:bookmarkEnd w:id="86"/>
    </w:p>
    <w:p w14:paraId="0AD9B125">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坚持商贸旺市，突出发展文旅、现代物流、商贸、金融等生活性及生产性服务业。</w:t>
      </w:r>
    </w:p>
    <w:p w14:paraId="09A072FE">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——全力构建金融支撑。</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坚持金融服务实体经济根本导向，大力推动金融高质量发展。吸引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型银行、保险、证券、信托、资产管理、商业保理、外汇结算、私募资金、风险投资机构到陆丰市设立分支机构，大力发展创业投资、绿色金融、投贷联动、理财保险市场，加强和规范融资租赁、融资担保、小额贷款公司、典当行等地方金融组织，引导更多金融资源支持实体经济发展。做好防范化解金融风险工作，优化和提升金融生态环境。理顺地方金融监管体制。构建普惠金融体系，强化金融对中小微企业、科技企业的支持，提升金融科技水平。</w:t>
      </w:r>
    </w:p>
    <w:p w14:paraId="6B27582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——发展大物流。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搭建现代物流发展体系，提高物流枢纽承载能力。推进重点的交通基础设施建设，打造立体便捷的交通网络，突出陆丰“东联西融”中枢地位。优化现代物流空间布局，加快推进物流专项规划编制实施工作，积极创建省级物流园区，构建“多节点，全面覆盖”现代物流空间网络体系，</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围绕星都经济开发区、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临</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港</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工业园（海工基地）、厦深铁路陆丰站、汕汕铁路（陆丰东站）</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，推动陆丰市客运公交站场、海产品仓储物流设施、星都物流园区、南塘物流园区</w:t>
      </w:r>
      <w:r>
        <w:rPr>
          <w:rFonts w:hint="eastAsia" w:ascii="仿宋_GB2312" w:hAnsi="Calibri" w:eastAsia="仿宋_GB2312"/>
          <w:b w:val="0"/>
          <w:i w:val="0"/>
          <w:caps w:val="0"/>
          <w:color w:val="000000" w:themeColor="text1"/>
          <w:spacing w:val="0"/>
          <w:w w:val="100"/>
          <w:sz w:val="32"/>
          <w:szCs w:val="32"/>
          <w:highlight w:val="none"/>
          <w:u w:val="none" w:color="auto"/>
          <w:lang w:val="zh-CN" w:eastAsia="zh-CN"/>
          <w14:textFill>
            <w14:solidFill>
              <w14:schemeClr w14:val="tx1"/>
            </w14:solidFill>
          </w14:textFill>
        </w:rPr>
        <w:t>、</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市货运快递物流园等客货运项目建设。推动现代物流提质增效，加快物流信息化建设，搭建物流公共信息平台，共享货源、车源和物流服务等信息；深化物流业与制造业、农产品加工业、商贸业的融合发展，引进物流相关制造、技术研发、咨询服务、商贸、商务、金融、会展等现代物流上下游企业，支持植物龙、宝丽华、南海海缆、中山</w:t>
      </w:r>
      <w:r>
        <w:rPr>
          <w:rFonts w:hint="eastAsia" w:ascii="仿宋_GB2312" w:hAnsi="Calibri" w:eastAsia="仿宋_GB2312"/>
          <w:b w:val="0"/>
          <w:i w:val="0"/>
          <w:caps w:val="0"/>
          <w:color w:val="000000" w:themeColor="text1"/>
          <w:spacing w:val="0"/>
          <w:w w:val="100"/>
          <w:sz w:val="32"/>
          <w:szCs w:val="32"/>
          <w:highlight w:val="none"/>
          <w:u w:val="none" w:color="auto"/>
          <w:lang w:val="zh-CN" w:eastAsia="zh-CN"/>
          <w14:textFill>
            <w14:solidFill>
              <w14:schemeClr w14:val="tx1"/>
            </w14:solidFill>
          </w14:textFill>
        </w:rPr>
        <w:t>明阳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、广东长风、</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天能重工</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龙头企业将采购、运输、仓储、配送等物流业务外包，构建供应链一体化协作体系。发展铁公港多式联运，建立多层次物流配送体系，打造“仓储+物流”一体化服务体系，降低物流成本，提高交通运输整体效率和服务水平，培育产业竞争优势。</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E23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1DFA0DE6">
            <w:pPr>
              <w:snapToGrid/>
              <w:spacing w:before="0" w:beforeAutospacing="0" w:after="0" w:afterAutospacing="0" w:line="600" w:lineRule="exact"/>
              <w:jc w:val="center"/>
              <w:textAlignment w:val="baseline"/>
              <w:rPr>
                <w:b w:val="0"/>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专栏</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5-3</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陆丰物流园区布局</w:t>
            </w:r>
          </w:p>
        </w:tc>
      </w:tr>
      <w:tr w14:paraId="762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6" w:type="dxa"/>
          </w:tcPr>
          <w:p w14:paraId="0E8BFCB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1.星都物流园区：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梅汕高速星都出口在区内，交通运输便捷，物流网络条件具备。拟引进电子信息、节能环保、物流仓储等企业，并规划引入包括新材料及其相关产品和技术装备的研发、生产，具体涵盖新材料本身形成的产业，新材料技术及其装备制造业和传统材料技术提升的产业等。</w:t>
            </w:r>
          </w:p>
          <w:p w14:paraId="1B16C78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2.南塘物流园区：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以汕汕铁路陆丰东站为中心，综合开发站场所在地白山村土地，构建物流仓储基地，包括物流信息平台、运输调度中心、货物分仓中心、消费品分拨配送中心等，配套相关物流运输设备及配套设施。</w:t>
            </w:r>
          </w:p>
        </w:tc>
      </w:tr>
    </w:tbl>
    <w:p w14:paraId="3929CF25">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——发展大商贸。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着力打造陆丰中心商务区，逐步培育发展网红经济、直播经济、夜间经济等商贸新模式新业态。优化陆丰商业布局，以</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陆丰市</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新时代</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市民</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场为商业发展轴心，积极布局引进沃尔玛、华润万家等品牌商超，打造大型城市综合体，推动“东海美食一条街”等特色商业街区建设，形成餐饮购物、休闲娱乐、亲子教育、商务接待为一体的消费型商圈，加快业态集聚；依托城东城乡结合部优势，沿东埔-东环-金碣-城东大道四线打造环境宜居、以商品经济为主的居住商业区；依托物流园区布局，重点在碣石、湖东打造超大规模的蔬菜水果、农副产品、海产品批发中心市场，努力将陆丰打造为连接珠三角、辐射粤东的商品集散地。加快建立健全统一开放、竞争有序的现代市场体系，鼓励个人和企业依托互联网新媒体，发展“网红+直播+电商”商业模式，促进销售线上线下融合发展；依托</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陆城美食</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广场、马街商圈等商业街区建设</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default"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东海镇上海村口至乌坎港滨海风情小镇</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夜间经济集聚区，全面提升商圈夜间灯光建设，引导商圈内商家延长营业时间，发展具有吸引力的夜间活动，打造“夜消费”为新消费热点，推动陆丰商贸蓬勃发展。</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CD2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B75BADC">
            <w:pPr>
              <w:snapToGrid/>
              <w:spacing w:before="0" w:beforeAutospacing="0" w:after="0" w:afterAutospacing="0" w:line="500" w:lineRule="exact"/>
              <w:jc w:val="center"/>
              <w:textAlignment w:val="baseline"/>
              <w:rPr>
                <w:rFonts w:ascii="宋体" w:hAnsi="宋体" w:eastAsia="宋体"/>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5-4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“十四五”期间产品市场建设重点项目</w:t>
            </w:r>
          </w:p>
        </w:tc>
      </w:tr>
      <w:tr w14:paraId="22E3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8296" w:type="dxa"/>
          </w:tcPr>
          <w:p w14:paraId="62F38FE0">
            <w:pPr>
              <w:pStyle w:val="14"/>
              <w:numPr>
                <w:ilvl w:val="-1"/>
                <w:numId w:val="0"/>
              </w:numPr>
              <w:snapToGrid/>
              <w:spacing w:before="0" w:beforeAutospacing="0" w:after="0" w:afterAutospacing="0" w:line="400" w:lineRule="exact"/>
              <w:ind w:left="0" w:leftChars="0" w:firstLine="562" w:firstLineChars="200"/>
              <w:jc w:val="left"/>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p>
          <w:p w14:paraId="1503BFCF">
            <w:pPr>
              <w:pStyle w:val="14"/>
              <w:numPr>
                <w:ilvl w:val="-1"/>
                <w:numId w:val="0"/>
              </w:numPr>
              <w:snapToGrid/>
              <w:spacing w:before="0" w:beforeAutospacing="0" w:after="0" w:afterAutospacing="0" w:line="400" w:lineRule="exact"/>
              <w:ind w:left="0" w:leftChars="0" w:firstLine="562" w:firstLineChars="200"/>
              <w:jc w:val="left"/>
              <w:textAlignment w:val="baseline"/>
              <w:rPr>
                <w:rFonts w:hint="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湖东镇农产品交易市场、冷链物流基地建设：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规划建设农产品交易市场、冷链物流基地、配套完善冷链物流基地等设施。</w:t>
            </w:r>
          </w:p>
        </w:tc>
      </w:tr>
    </w:tbl>
    <w:p w14:paraId="55023DD5">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——发展大旅游。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北部山区良好的山体、森林、农业、古民居等旅游资源，围绕八万、陂洋、铜锣湖、潭西等地打造北部山区生态休闲旅游带，适度开发生态旅游产品，推动八万“木兰”生态旅游特色小镇、白水寨和坎钟山森林公园、后坎温泉旅游区、沙溪温泉旅游区建设，打造成为“山水生态梦幻之都”。充分发挥陆丰作为重要的海陆丰革命根据地丰富的红色资源和浓厚的红色氛围优势，深度开发周恩来养病旧址、藏身洞、渡海处、陆丰农会旧址、红二师指挥部旧址、龙山烈士陵园、</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张威纪念亭</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红色旅游资源，推进遗址遗迹、展示纪念馆、红色基因培育等项目建设，重点打造金厢红色滨海旅游区，建成粤东滨海爱国主义教育与体验基地，率先形成陆丰现代化滨海全域旅游示范区“红色堡垒”的主题形象。</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98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1FB7ADD">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5-5 陆丰创建广东省全域旅游示范区</w:t>
            </w:r>
          </w:p>
        </w:tc>
      </w:tr>
      <w:tr w14:paraId="1DA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4AAF97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1.总体规划目标：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广东省全域旅游示范区、岭南地区最具魅力的滨海体育休闲旅游度假及红色爱国主义教育目的地。</w:t>
            </w:r>
          </w:p>
          <w:p w14:paraId="538CF508">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2.总体战略定位：</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打造“红色堡垒，黄金海岸，溢彩陆丰”主题旅游形象，建成承接大深圳“东进战略”和“粤港澳大湾区发展战略”的粤东滨海休闲度假旅游目的地，建成宜居宜业宜游的现代化滨海全域旅游示范区。</w:t>
            </w:r>
          </w:p>
          <w:p w14:paraId="12C5F54B">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3.发展空间布局：</w:t>
            </w:r>
          </w:p>
          <w:p w14:paraId="4CAFBA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一心：</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东海都市休闲旅游综合服务中心。</w:t>
            </w:r>
          </w:p>
          <w:p w14:paraId="7C99E8C6">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一轴：</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沿螺河两岸休闲旅游观光游憩区。</w:t>
            </w:r>
          </w:p>
          <w:p w14:paraId="2A03CC6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两带：</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陆丰市“黄金海岸”人文滨海旅游带和北部山区生态休闲旅游带。</w:t>
            </w:r>
          </w:p>
          <w:p w14:paraId="661E24D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五区：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东海都市休闲游憩区、碣石滨海度假旅游区、金厢红色滨海旅游区、甲子滨海高端度假运动旅游区、八万山水生态观光度假旅游区。</w:t>
            </w:r>
          </w:p>
          <w:p w14:paraId="18FF2EA4">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4.发展路径：</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2025前后，提升和建设红色旅游景区（点），打造3条红色旅游线路，培育建设1-2个A级旅游特色村、2-3个自驾车旅居车营地、2-3家“金宿”“银宿”、4-6个省级休闲农业与乡村旅游示范镇（点）。打造金厢滩-碣石玄武山度假区，并创建5A景区1-2个。</w:t>
            </w:r>
          </w:p>
          <w:p w14:paraId="53E8A095">
            <w:pPr>
              <w:pStyle w:val="6"/>
              <w:snapToGrid/>
              <w:spacing w:before="0" w:beforeAutospacing="0" w:after="0" w:afterAutospacing="0" w:line="400" w:lineRule="exact"/>
              <w:ind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5.基础设施建设：</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一是全面完善以东海镇为中心的旅游公共服务体系，推动旅游交通网络、服务设施、全域旅游系统标识、旅游厕所、游憩设施、全域智慧旅游体系及旅游景区、酒店、娱乐、购物基地等旅游设施标准化建设，完善前往陆丰各乡镇景区（点）的旅游专线、旅游直通车建设，开通陆丰至主要客源地的旅游专线；二是培育提升核心景区，串点成线，由线及面，重点培育碣石玄武山旅游区、浅澳海底花园、福山妈祖景区、金厢下埔红色生态村等具有一定规模的旅游景区（点）；三是加快旅游信息化建设，推动智慧旅游发展。</w:t>
            </w:r>
          </w:p>
        </w:tc>
      </w:tr>
    </w:tbl>
    <w:p w14:paraId="6C69A3C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87" w:name="_Toc30078"/>
      <w:bookmarkStart w:id="88" w:name="_Toc17473"/>
      <w:bookmarkStart w:id="89" w:name="_Toc23156"/>
    </w:p>
    <w:p w14:paraId="34A7241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90" w:name="_Toc5972"/>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87"/>
      <w:r>
        <w:rPr>
          <w:rFonts w:hint="eastAsia" w:ascii="黑体" w:hAnsi="黑体" w:eastAsia="黑体" w:cs="仿宋"/>
          <w:color w:val="000000" w:themeColor="text1"/>
          <w:sz w:val="32"/>
          <w:szCs w:val="32"/>
          <w:highlight w:val="none"/>
          <w14:textFill>
            <w14:solidFill>
              <w14:schemeClr w14:val="tx1"/>
            </w14:solidFill>
          </w14:textFill>
        </w:rPr>
        <w:t>大力发展海洋经济</w:t>
      </w:r>
      <w:bookmarkEnd w:id="88"/>
      <w:bookmarkEnd w:id="89"/>
      <w:bookmarkEnd w:id="90"/>
    </w:p>
    <w:p w14:paraId="084E1C86">
      <w:pPr>
        <w:snapToGrid/>
        <w:spacing w:before="0" w:beforeAutospacing="0" w:after="0" w:afterAutospacing="0" w:line="600" w:lineRule="exact"/>
        <w:ind w:firstLine="640"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依托丰富海洋资源，发挥“海洋、海岸、海港”王牌优势，做大做强海洋经济。</w:t>
      </w:r>
    </w:p>
    <w:p w14:paraId="2213024D">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——打造海洋工程装备和设施制造领航区。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力推进临港工业园规划建设，将碣石海洋工程装备制造基地打造为具有高竞争力的海洋工程装备产业核心区，加快构建以海上风电高端装备制造为核心，关键配套为支撑，全链条式服务为特色的完整产业链。推进汕尾（陆丰）海工基地风机综合厂（明阳园区）、塔筒厂（青岛天能重工项目）、导管架厂（长风园区）、海底电缆厂（中天园区）、8000吨级专用码头及防波堤规划建设，着重引入主营钢管、高压管件、管道、卷板、起重机械设备、港口机械设备、海上风电配套装备及其配件的制造、加工、销售以及服务等全链条企业，完善上游装备设计、中游装备制造到下游维修服务等关键环节，推动海工基地升级为省级产业园。以海工基地为契合点，抢抓深圳打造全球海洋中心城市战略机遇，主动承接深圳海洋工程装备产业转型升级和智能化辐射，充分利用深圳强大核心技术攻关能力，谋求与深圳海洋龙头企业合作，形成“总部+基地”的发展模式，带动陆丰海洋电子信息、海洋高端装备、海洋可再生能源、海洋配套服务等海洋新兴产业发展，打造成为沿海经济带重要海工装备和设施制造领航区。</w:t>
      </w:r>
    </w:p>
    <w:p w14:paraId="79DEE118">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——打造陆丰市大南海东海岸</w:t>
      </w:r>
      <w:r>
        <w:rPr>
          <w:rFonts w:hint="eastAsia" w:ascii="仿宋_GB2312" w:hAnsi="Calibri"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石</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化产业基地。</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积极谋划石化产业联动发展，三甲、湖东、碣石等镇主动对接揭阳市，全面接受大南海石化辐射，充分利用大南海石化产业园资源，带动规划建设大南海石化产业园汕尾东海岸石化基地，按照烯烃+芳烃+化工新材料+新能源材料+特种精细化学品的思路，发展石油化工、化学品制造、医药化工、化纤、化工装备等材料和精细化工产业，结合三甲地区五金环保塑胶传统产业基础，引进炼化一体化下游配套深加工产业，形成以上游石油加工为主导、中下游化学品产品配套发展的上下游一体化的石化产业体系，打造汕尾东海岸新兴石化基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75F5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186584D">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专栏5-6 汕尾市“万亩千亿”高能级产业发展平台</w:t>
            </w:r>
          </w:p>
        </w:tc>
      </w:tr>
      <w:tr w14:paraId="2A19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ADF10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13"/>
                <w:w w:val="100"/>
                <w:kern w:val="36"/>
                <w:sz w:val="28"/>
                <w:szCs w:val="28"/>
                <w:highlight w:val="none"/>
                <w:u w:val="none" w:color="auto"/>
                <w:lang w:val="en-US" w:eastAsia="zh-CN"/>
                <w14:textFill>
                  <w14:solidFill>
                    <w14:schemeClr w14:val="tx1"/>
                  </w14:solidFill>
                </w14:textFill>
              </w:rPr>
              <w:t>汕尾临港工业园</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主要发展能源和装备制造产业。支撑海上风电产业发展，建设装备研发、检测认证中心、工程与运维基地，形成集技术研发、设备制造、检测认证、建设安装、运行维护为一体的海洋工程集聚区。</w:t>
            </w:r>
          </w:p>
          <w:p w14:paraId="66511826">
            <w:pPr>
              <w:snapToGrid/>
              <w:spacing w:before="0" w:beforeAutospacing="0" w:after="0" w:afterAutospacing="0" w:line="400" w:lineRule="exact"/>
              <w:ind w:firstLine="562" w:firstLineChars="200"/>
              <w:jc w:val="both"/>
              <w:textAlignment w:val="baseline"/>
              <w:rPr>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2.大南海石化产业园汕尾东海岸石化基地：</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在甲东镇谋划建设石化基地，主要包括石化工业区、重装备产业区、港口物流区、科教研发区、综合服务区等，计划引入石化产业链上下游相关企业。</w:t>
            </w:r>
          </w:p>
        </w:tc>
      </w:tr>
    </w:tbl>
    <w:p w14:paraId="5B765627">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——大力发展港口经济。</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陆丰海岸线长达191公里，距离国际航线14海里、香港120海里优势，着力推进海洋港口建设，加快港口转型升级，打造一流的现代化港口群。不断完善基础设施建设，以宝丽华码头为基础，推动“三甲”地区深水码头和湖东</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深水</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码头建设，积极谋划打造三个十万吨级深水港码头，建设深水泊位码头及航道。不断提升航运服务水平，以海公铁多式联运模式重点发展港口物流、保税物流和冷链物流等现代航运服务业，引进港口供应链服务企业，提供运输、仓储、通关、订舱、代理等一条龙全程港口物流服务。不断强化金融支持，打造海洋资源开发建设投融资平台，提升基础设施建设、临港产业投资开发、海洋资源开发等投融资能力，积极发挥资本市场对港口经济的支撑作用，强化资本运作能力，优化整合金融资源，围绕港口产业打造金融产业链，推动航运与金融深度融合发展。加快陆海统筹和港产联动，打造成为省对外开放门户和大湾区物品流通、产业集聚的重要平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CBC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A27C391">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5-7“十四五”期间港口码头布局</w:t>
            </w:r>
          </w:p>
        </w:tc>
      </w:tr>
      <w:tr w14:paraId="47FE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DA14A1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1.“三甲”地区：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对已有甲东作业区进行内部升级改造，谋划建设商务型深水港码头。</w:t>
            </w:r>
          </w:p>
          <w:p w14:paraId="432329C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2.碣石镇：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在碣石镇海洋工程基地谋划建设码头和防波堤，建造重泊位和运维泊位。</w:t>
            </w:r>
          </w:p>
          <w:p w14:paraId="287DDCF8">
            <w:pPr>
              <w:pStyle w:val="14"/>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3</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.湖东镇：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谋划建设与现有电厂配套的十万吨级码头，建造中间码头泊位、拖轮泊位、防波堤、护岸、取水明渠及取水口等设施。</w:t>
            </w:r>
          </w:p>
        </w:tc>
      </w:tr>
    </w:tbl>
    <w:p w14:paraId="0C4168B9">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——大力发展现代渔业</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渔港基础设施建设，推进甲子渔港、碣石渔港、金厢渔港等沿海带渔港升级改造，建设交易市场、综合管理中心、深加工、冷链等渔港公共基础设施，着力发展海洋捕捞、海水养殖和海产品精深加工，带动冷冻冷链加工、仓储物流及休闲渔业等多元化产业发展，提升现代化渔港功能。聚焦产业升级，打造海洋牧场，谋划建设人工鱼礁项目，人工增殖水产苗种，移植大型藻类，引进海洋牧场项目，划定禁捕红线，逐步减少近海捕捞，推广生态健康养殖模式，扩大城东</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水墘</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蚝、金厢鱿鱼、陆丰虾姑、陆丰东溪虾、白沙乌鱼、赤蟹等陆丰特色海产品养殖规模，探索试养高附加值养殖品种，推动传统近岸海域养殖向深远海科学养殖发展，培育现代渔业高质量发展新要地。推动海洋牧场与滨海旅游融合发展，依托海洋牧场海上多功能平台，建设海洋牧场休闲海钓基地，开发食宿康养、垂钓潜水、科普研学等旅游项目，提升海洋牧场知名度和影响力，辐射带动周边区域发展。</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07D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F029F0B">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专栏5-8 “十四五”期间渔港布局</w:t>
            </w:r>
          </w:p>
        </w:tc>
      </w:tr>
      <w:tr w14:paraId="69C3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77FEE7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1.甲子渔港：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建上岸码头、渔港管理中心、环保设施、导助航和监控指挥等设施，开展港池航道疏浚。</w:t>
            </w:r>
          </w:p>
          <w:p w14:paraId="2244914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2.碣石沿海一级渔港：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谋划新建码头，加固护岸、防波堤，建设水产品交易市场，完善疏浚、水电消防设施、生态环境设施等。</w:t>
            </w:r>
          </w:p>
          <w:p w14:paraId="54B817A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3.金厢渔港：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规划打造一个渔业码头，建设大中型渔业码头泊位、加冰码头泊位、物资码头泊位及可供大、中、小三种渔船停泊的港内停泊锚地；建设防波堤、拦沙堤、船排滑道、修造船基地。</w:t>
            </w:r>
          </w:p>
          <w:p w14:paraId="335C8D8F">
            <w:pPr>
              <w:snapToGrid/>
              <w:spacing w:before="0" w:beforeAutospacing="0" w:after="0" w:afterAutospacing="0" w:line="400" w:lineRule="exact"/>
              <w:ind w:left="0" w:leftChars="0"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4.湖东渔港：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对现有码头升级改造，扩建码头、拦沙堤，新建护岸、港池及航道疏浚，建设交易市场、综合管理中心、深加工、冷链、海鲜街、渔民之家、修船厂、加油站等设施一批</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p w14:paraId="40C74EEF">
            <w:pPr>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5.乌坎港码头升级改造项目：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改造二个3000吨级码头，升级泊位，建设防波堤、新建护岸、港池及航道疏浚，建设海产品交易市场、海鲜街。</w:t>
            </w:r>
          </w:p>
        </w:tc>
      </w:tr>
    </w:tbl>
    <w:p w14:paraId="486CA88D">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——大力发展海洋生物医药产业。</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丰富的海洋资源优势，加强精准招商引资，开展以商招商，推动海洋药物和生物制品业加快发展。坚持规划引领产业集群发展，编制陆丰市海洋生物医药产业发展规划，明确海洋生物医药资源禀赋现状，谋划建设海洋生物医药产业园区，引进“双区”海洋生物医药领域的高新技术企业、高等院校和科研院所，打造高端发展平台和人才团队，加强海洋创新药物研发攻关力度，构筑海洋生物医药产业发展核心竞争力。坚持发挥自身优势壮大产业规模，发挥东海海马保健酒强大品牌效应，引领带动海洋生物提炼、新型健康海产品等产业发展，引进一批高成长性的海洋生物医药产业，开发海洋生物保健品、功能食品等海洋创新型</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产品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，提升海洋生物医药产业产值。</w:t>
      </w:r>
    </w:p>
    <w:p w14:paraId="7C82425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——打造“粤东人文滨海旅游黄金海岸”。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依托陆丰190公里长的海岸线优势、滨海地区良好的自然和生态条件，完善滨海旅游服务设施、改善旅游交通环境，优化景观风貌，推进金厢滩观音岭旅游度假区、碣石玄武山、</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乌坎-碣石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和浅澳古炮台及卫城遗址、甲子镇滨海休闲观光旅游建设，开发滨海浴场、沙滩排球和沙滩足球、潜水、水上运动、滨水休闲度假等产品，进一步构建金厢红色滨海旅游度假区、碣石滨海度假旅游区、甲子高端滨海体育休闲度假旅游区三大滨海旅游区，依托滨海旅游公路建设串珠成链，积极引进具有较强运营能力的龙头企业，沿线发展餐饮、星级酒店、乡村客栈、民宿、购物等旅游服务业，打造汇集红色文化、渔业文化、古城、海防、滨海自然景观、休闲娱乐体验的滨海走廊精品路线，提升“粤东人文滨海旅游黄金海岸”品质，建成宜居宜业宜游的现代化滨海全域旅游示范区。</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90D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8A10FFC">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专栏5-9 “十四五”期间滨海旅游区重点建设项目</w:t>
            </w:r>
          </w:p>
        </w:tc>
      </w:tr>
      <w:tr w14:paraId="5B45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FD2ABF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1.金厢观音岭风景区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：以观音岭古官道、碣石卫哨所等遗址挖掘观音岭历史文化内涵，以水月宫、妈祖等挖掘金厢人民信仰文化内涵，以镇海石、天水相与永等摩崖石刻挖掘石刻历史文化，以企鹅石、龙石、牛石、 和尚石等奇礁异石为依托，挖掘海蚀柱、海蚀岩、 海蚀墩等自然景观和古老传说，打响粤东黄金海岸名片。</w:t>
            </w:r>
          </w:p>
          <w:p w14:paraId="07C5B41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2.金厢</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滨海度假</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旅游区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：以</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十二岗村</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为基础，规划建设酒店、旅馆、游乐区等设施，提供住宿、美食、娱乐为一体的海滨度假区。</w:t>
            </w:r>
          </w:p>
          <w:p w14:paraId="0592E3F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3.碣石滨海度假旅游区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加快实施《玄武山旅游发展总体规划》，全面完善旅游服务配套设施，促进景区提质升级，加强对全镇旅游资源的规划和开发，积极开辟玄武山与海上游览、滨海旖旎风光、浅澳古炮台及卫城遗址等旅游项目，发展壮大旅游产业，提高旅游综合效益。</w:t>
            </w:r>
          </w:p>
          <w:p w14:paraId="4EB8439A">
            <w:pPr>
              <w:snapToGrid/>
              <w:spacing w:before="0" w:beforeAutospacing="0" w:after="0" w:afterAutospacing="0" w:line="400" w:lineRule="exact"/>
              <w:ind w:firstLine="562" w:firstLineChars="200"/>
              <w:jc w:val="both"/>
              <w:textAlignment w:val="baseline"/>
              <w:rPr>
                <w:rFonts w:hint="default" w:eastAsia="宋体"/>
                <w:color w:val="000000" w:themeColor="text1"/>
                <w:highlight w:val="none"/>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4.陆丰市东海镇上海村口至乌坎港滨海风情小镇项目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：发挥优质海岸线资源，打造集滨海旅游、沙滩运动、风情海岸为特色的滨海风情小镇。建设包括旅游馆、文体活动中心，打造景观示范带、灯光夜景，发展沙滩足球、沙滩排球、沙雕展示等文体活动。</w:t>
            </w:r>
          </w:p>
        </w:tc>
      </w:tr>
    </w:tbl>
    <w:p w14:paraId="6CF5C76B">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91" w:name="_Toc19"/>
      <w:bookmarkStart w:id="92" w:name="_Toc3075"/>
      <w:bookmarkStart w:id="93" w:name="_Toc3494"/>
      <w:bookmarkStart w:id="94" w:name="_Toc29145"/>
      <w:r>
        <w:rPr>
          <w:rFonts w:hint="eastAsia" w:ascii="黑体" w:hAnsi="黑体" w:eastAsia="黑体" w:cs="仿宋"/>
          <w:color w:val="000000" w:themeColor="text1"/>
          <w:sz w:val="32"/>
          <w:szCs w:val="32"/>
          <w:highlight w:val="none"/>
          <w14:textFill>
            <w14:solidFill>
              <w14:schemeClr w14:val="tx1"/>
            </w14:solidFill>
          </w14:textFill>
        </w:rPr>
        <w:t xml:space="preserve">第四节 </w:t>
      </w:r>
      <w:bookmarkEnd w:id="91"/>
      <w:r>
        <w:rPr>
          <w:rFonts w:hint="eastAsia" w:ascii="黑体" w:hAnsi="黑体" w:eastAsia="黑体" w:cs="仿宋"/>
          <w:color w:val="000000" w:themeColor="text1"/>
          <w:sz w:val="32"/>
          <w:szCs w:val="32"/>
          <w:highlight w:val="none"/>
          <w14:textFill>
            <w14:solidFill>
              <w14:schemeClr w14:val="tx1"/>
            </w14:solidFill>
          </w14:textFill>
        </w:rPr>
        <w:t>打造数字经济新高地</w:t>
      </w:r>
      <w:bookmarkEnd w:id="92"/>
      <w:bookmarkEnd w:id="93"/>
      <w:bookmarkEnd w:id="94"/>
    </w:p>
    <w:p w14:paraId="570CF519">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——聚焦5G产业创新发展</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统筹利用城市公共资源，以应用需求为导向，适当超前、科学布局、有序推进5G基础设施建设，构建覆盖完善、场景丰富、满足多样化需求的5G网络服务体系。体系化推进5G产业发展，充分发挥5G新型基础设施的规模效应和带动作用，融合数字孪生能力、大数据和人工智能技术，搭建“5G+工业园区”等应用试点建设，培育5G发展新业态；强化精准招商，引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相关领域骨干企业和“5G+”领域相关企业的配套企业落户陆丰，培育一批具有发展潜力的5G分支领域企业，补齐产业链关键环节，打造具有国际竞争力的5G产业集群。</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35B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E0C56C4">
            <w:pPr>
              <w:snapToGrid/>
              <w:spacing w:before="0" w:beforeAutospacing="0" w:after="0" w:afterAutospacing="0" w:line="400" w:lineRule="exact"/>
              <w:jc w:val="center"/>
              <w:textAlignment w:val="baseline"/>
              <w:rPr>
                <w:rFonts w:hint="eastAsia"/>
                <w:b w:val="0"/>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专栏5-10 陆丰市5G应用及配套建设项目</w:t>
            </w:r>
          </w:p>
        </w:tc>
      </w:tr>
      <w:tr w14:paraId="1C40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BE28513">
            <w:pPr>
              <w:snapToGrid/>
              <w:spacing w:before="0" w:beforeAutospacing="0" w:after="0" w:afterAutospacing="0" w:line="400" w:lineRule="exact"/>
              <w:ind w:firstLine="560" w:firstLineChars="200"/>
              <w:jc w:val="both"/>
              <w:textAlignment w:val="baseline"/>
              <w:rPr>
                <w:rFonts w:hint="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建设“5G+智慧工业园区”，涵盖广东汕尾星都经济开发区、陆丰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东海经济开发区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、汕尾海洋工程基地、陆丰市三甲地区工业园区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及南塘、碣石民营工业园区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部署园区POL系统、智慧园区一卡通、智能停车、园区视听管理、智慧路灯、智慧安防基础设施系统；针对园区的生产、办公、管理等不同需求，搭建工业生产网、企业信息网、园区公共服务网络、5G通信网等传送网络及配套的通信机房；建设园区运营指挥中心和数据中心机房，搭建智慧园区综合应用平台，集园区综合安防、园区便捷通行、园区设施管理、园区资产管理、园区能耗管理、园区环境空间管理于一体。通过5G、物联网等新技术的赋能，为本市的产业升级奠定基础。</w:t>
            </w:r>
          </w:p>
        </w:tc>
      </w:tr>
    </w:tbl>
    <w:p w14:paraId="48646C60">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——打造“智慧旅游景区”。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利用大数据、移动互联网、人工智能、云计算、虚拟现实、高速通信技术、地理信息系统等数字技术，将智慧元素融入景区服务、景区管理、营销宣传、游客体验多方面，推进陆丰各旅游景区升级为智慧旅游景区。推进旅游服务智慧化，打造东海镇为陆丰旅游发展的集散中心，加快游客服务中心和旅游数据中心建设，搭建陆丰旅游大数据平台，整合包括旅行社、酒店、交通、公安、景点门票等旅游信息资源，通过APP、微信公众号等网络终端发布旅游相关信息，支持全线旅游产品网上预订支付，建设诚信体系和投诉平台，全面覆盖游客旅游前中后的各项需求，推动实现“一部手机游陆丰”，优化游客旅游体验。推进旅游管理智慧化，促进旅游景区与公安、交通、工商、卫生等部门形成信息共享和协作联动，切实维护旅游市场秩序，保障旅游安全；鼓励旅游企业依托大数据平台分析游客需求变化，开发更能满足游客需求的旅游产品，实现科学决策。推进旅游营销智慧化，依托各地特色产品，制定差异化精准有效营销方案，借助小程序、优惠券、拼团、网络直播等多元化互动营销</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模式</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，创新旅游产品营销方式，推动传统旅游消费方式向现代旅游消费方式转变。</w:t>
      </w:r>
    </w:p>
    <w:p w14:paraId="590EE4C8">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——推进电子商务新发展。</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物流区布局及大市场建设，发展“互联网+产业”电子商务模式，在农产品、五金塑料、圣诞礼品等领域打造一批电子商务平台，重点推进省级电子商务进农村综合示范项目建设，新增市级农村电商公共服务中心、镇级服务站和村级服务点，通过互联网平台对接农村资源及各种服务，打通农产品生产、销售各环节。积极引进淘宝、京东、拼多多等知名电商企业，培育陆丰农村电商产品品牌，培养电子商务人才，创新电子商务模式，通过网络直播、电商、社群等方式拓宽农产品销售渠道，推广陆丰特色农产品品牌，减少农产品流通环节，推动农产品流通业态创新，健全完备乡村产业体系。</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478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41741F8">
            <w:pPr>
              <w:snapToGrid/>
              <w:spacing w:before="0" w:beforeAutospacing="0" w:after="0" w:afterAutospacing="0" w:line="600" w:lineRule="exact"/>
              <w:jc w:val="center"/>
              <w:textAlignment w:val="baseline"/>
              <w:rPr>
                <w:b/>
                <w:bCs/>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专栏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5-11</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 国家级电子商务进农村综合示范项目建设</w:t>
            </w:r>
          </w:p>
        </w:tc>
      </w:tr>
      <w:tr w14:paraId="1B5E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1018E95">
            <w:pPr>
              <w:snapToGrid/>
              <w:spacing w:before="0" w:beforeAutospacing="0" w:after="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省级电子商务进农村综合示范项目的基础上进行完善升级，建设国家级电子商务公务服务中心、电商务产业园，23个镇级电商服务站建设实现全覆盖，优化村级服务点占全市行政村50%以上，完成不少于5000人次电子商务培训，有劳动能力的建档立卡贫困人口的培训率达到50%(外出务工者除外)。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建设农村特色电商产业基地、创业园，发展特色电商小镇和电商示范村，完善农村电商产业发展营销服务体系。建设完善农村电商物流体系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w:t>
            </w:r>
          </w:p>
        </w:tc>
      </w:tr>
    </w:tbl>
    <w:p w14:paraId="027BB69C">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——加快传统产业数字化转型。</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围绕数字经济服务于实体经济，通过数字化手段提高实体经济实力与效率，以智能化绿色化为方向，推动传统产业突破发展瓶颈。大力发展工业互联网，推动圣诞产品、服装、五金塑料等传统制造业企业“上云上平台”，为中小企业提供一站式信息化服务，打破企业数据孤岛，降低企业发展成本。推进5G、人工智能、云计算、大数据、区块链等数字技术在传统优势产业应用，鼓励引导传统产业企业数字化、网络化、智能化改造升级，推动“机器换人”，支持甲子镇五金行业引进五金制造国产机器人、人工数控五金加工智能科技等先进数字生产力，提升生产效率；支持服装制造行业依靠云平台对接客户需求，发展个性化定制、服务型定制及云制造等新模式，推进服装制造产业转型升级。</w:t>
      </w:r>
    </w:p>
    <w:p w14:paraId="28E65551">
      <w:pPr>
        <w:pStyle w:val="7"/>
        <w:snapToGrid/>
        <w:spacing w:before="0" w:beforeAutospacing="0" w:after="0" w:afterAutospacing="0" w:line="240" w:lineRule="auto"/>
        <w:jc w:val="center"/>
        <w:textAlignment w:val="baseline"/>
        <w:rPr>
          <w:rFonts w:hint="default" w:eastAsia="黑体"/>
          <w:b w:val="0"/>
          <w:i w:val="0"/>
          <w:caps w:val="0"/>
          <w:color w:val="000000" w:themeColor="text1"/>
          <w:spacing w:val="0"/>
          <w:w w:val="100"/>
          <w:sz w:val="24"/>
          <w:highlight w:val="none"/>
          <w:u w:val="none" w:color="auto"/>
          <w:lang w:val="en-US" w:eastAsia="zh-CN"/>
          <w14:textFill>
            <w14:solidFill>
              <w14:schemeClr w14:val="tx1"/>
            </w14:solidFill>
          </w14:textFill>
        </w:rPr>
      </w:pPr>
      <w:bookmarkStart w:id="95" w:name="_Toc7491"/>
      <w:bookmarkStart w:id="96" w:name="_Toc59331231"/>
      <w:r>
        <w:rPr>
          <w:rFonts w:hint="eastAsia" w:ascii="仿宋_GB2312" w:hAnsi="Calibri" w:eastAsia="仿宋_GB2312"/>
          <w:b w:val="0"/>
          <w:i w:val="0"/>
          <w:caps w:val="0"/>
          <w:color w:val="000000" w:themeColor="text1"/>
          <w:spacing w:val="0"/>
          <w:w w:val="100"/>
          <w:sz w:val="24"/>
          <w:highlight w:val="none"/>
          <w:u w:val="none" w:color="auto"/>
          <w:lang w:val="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-238760</wp:posOffset>
            </wp:positionH>
            <wp:positionV relativeFrom="paragraph">
              <wp:posOffset>49530</wp:posOffset>
            </wp:positionV>
            <wp:extent cx="5818505" cy="3949700"/>
            <wp:effectExtent l="0" t="0" r="3175" b="12700"/>
            <wp:wrapTopAndBottom/>
            <wp:docPr id="14" name="图片 14" descr="C:\Users\Administrator\Desktop\BB.png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BB.pngBB"/>
                    <pic:cNvPicPr>
                      <a:picLocks noChangeAspect="1"/>
                    </pic:cNvPicPr>
                  </pic:nvPicPr>
                  <pic:blipFill>
                    <a:blip r:embed="rId11"/>
                    <a:srcRect/>
                    <a:stretch>
                      <a:fillRect/>
                    </a:stretch>
                  </pic:blipFill>
                  <pic:spPr>
                    <a:xfrm>
                      <a:off x="0" y="0"/>
                      <a:ext cx="5818505" cy="3949700"/>
                    </a:xfrm>
                    <a:prstGeom prst="rect">
                      <a:avLst/>
                    </a:prstGeom>
                  </pic:spPr>
                </pic:pic>
              </a:graphicData>
            </a:graphic>
          </wp:anchor>
        </w:drawing>
      </w:r>
      <w:bookmarkEnd w:id="95"/>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图5-</w:t>
      </w:r>
      <w:r>
        <w:rPr>
          <w:b w:val="0"/>
          <w:i w:val="0"/>
          <w:caps w:val="0"/>
          <w:color w:val="000000" w:themeColor="text1"/>
          <w:spacing w:val="0"/>
          <w:w w:val="100"/>
          <w:sz w:val="20"/>
          <w:highlight w:val="none"/>
          <w:u w:val="none" w:color="auto"/>
          <w14:textFill>
            <w14:solidFill>
              <w14:schemeClr w14:val="tx1"/>
            </w14:solidFill>
          </w14:textFill>
        </w:rPr>
        <w:fldChar w:fldCharType="begin"/>
      </w:r>
      <w:r>
        <w:rPr>
          <w:b w:val="0"/>
          <w:i w:val="0"/>
          <w:caps w:val="0"/>
          <w:color w:val="000000" w:themeColor="text1"/>
          <w:spacing w:val="0"/>
          <w:w w:val="100"/>
          <w:sz w:val="20"/>
          <w:highlight w:val="none"/>
          <w:u w:val="none" w:color="auto"/>
          <w14:textFill>
            <w14:solidFill>
              <w14:schemeClr w14:val="tx1"/>
            </w14:solidFill>
          </w14:textFill>
        </w:rPr>
        <w:instrText xml:space="preserve"> SEQ 图5- \* ARABIC </w:instrText>
      </w:r>
      <w:r>
        <w:rPr>
          <w:b w:val="0"/>
          <w:i w:val="0"/>
          <w:caps w:val="0"/>
          <w:color w:val="000000" w:themeColor="text1"/>
          <w:spacing w:val="0"/>
          <w:w w:val="100"/>
          <w:sz w:val="20"/>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1</w:t>
      </w:r>
      <w:r>
        <w:rPr>
          <w:b w:val="0"/>
          <w:i w:val="0"/>
          <w:caps w:val="0"/>
          <w:color w:val="000000" w:themeColor="text1"/>
          <w:spacing w:val="0"/>
          <w:w w:val="100"/>
          <w:sz w:val="20"/>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highlight w:val="none"/>
          <w:u w:val="none" w:color="auto"/>
          <w14:textFill>
            <w14:solidFill>
              <w14:schemeClr w14:val="tx1"/>
            </w14:solidFill>
          </w14:textFill>
        </w:rPr>
        <w:t xml:space="preserve"> </w:t>
      </w:r>
      <w:r>
        <w:rPr>
          <w:rFonts w:hint="eastAsia"/>
          <w:b w:val="0"/>
          <w:i w:val="0"/>
          <w:caps w:val="0"/>
          <w:color w:val="000000" w:themeColor="text1"/>
          <w:spacing w:val="0"/>
          <w:w w:val="100"/>
          <w:sz w:val="24"/>
          <w:highlight w:val="none"/>
          <w:u w:val="none" w:color="auto"/>
          <w:lang w:val="en-US" w:eastAsia="zh-CN"/>
          <w14:textFill>
            <w14:solidFill>
              <w14:schemeClr w14:val="tx1"/>
            </w14:solidFill>
          </w14:textFill>
        </w:rPr>
        <w:t>我市</w:t>
      </w:r>
      <w:r>
        <w:rPr>
          <w:rFonts w:hint="eastAsia"/>
          <w:b w:val="0"/>
          <w:i w:val="0"/>
          <w:caps w:val="0"/>
          <w:color w:val="000000" w:themeColor="text1"/>
          <w:spacing w:val="0"/>
          <w:w w:val="100"/>
          <w:sz w:val="24"/>
          <w:highlight w:val="none"/>
          <w:u w:val="none" w:color="auto"/>
          <w14:textFill>
            <w14:solidFill>
              <w14:schemeClr w14:val="tx1"/>
            </w14:solidFill>
          </w14:textFill>
        </w:rPr>
        <w:t>重大产业平台布局</w:t>
      </w:r>
      <w:r>
        <w:rPr>
          <w:rFonts w:hint="eastAsia"/>
          <w:b w:val="0"/>
          <w:i w:val="0"/>
          <w:caps w:val="0"/>
          <w:color w:val="000000" w:themeColor="text1"/>
          <w:spacing w:val="0"/>
          <w:w w:val="100"/>
          <w:sz w:val="24"/>
          <w:highlight w:val="none"/>
          <w:u w:val="none" w:color="auto"/>
          <w:lang w:val="en-US" w:eastAsia="zh-CN"/>
          <w14:textFill>
            <w14:solidFill>
              <w14:schemeClr w14:val="tx1"/>
            </w14:solidFill>
          </w14:textFill>
        </w:rPr>
        <w:t>示意图</w:t>
      </w:r>
    </w:p>
    <w:p w14:paraId="0708D88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97" w:name="_Toc10589"/>
      <w:bookmarkStart w:id="98" w:name="_Toc30591"/>
      <w:bookmarkStart w:id="99" w:name="_Toc26029"/>
      <w:r>
        <w:rPr>
          <w:rFonts w:hint="eastAsia" w:ascii="黑体" w:hAnsi="黑体" w:eastAsia="黑体" w:cs="仿宋"/>
          <w:color w:val="000000" w:themeColor="text1"/>
          <w:sz w:val="32"/>
          <w:szCs w:val="32"/>
          <w:highlight w:val="none"/>
          <w14:textFill>
            <w14:solidFill>
              <w14:schemeClr w14:val="tx1"/>
            </w14:solidFill>
          </w14:textFill>
        </w:rPr>
        <w:t>第五节 大力建设质量强市</w:t>
      </w:r>
      <w:bookmarkEnd w:id="97"/>
      <w:bookmarkEnd w:id="98"/>
      <w:bookmarkEnd w:id="99"/>
    </w:p>
    <w:p w14:paraId="66B9A0A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深入开展质量提升行动，加大品牌创建力度，培植质量发展标杆和标准建设体系，着力培育</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“陆丰制造”“陆丰标准”“陆丰品牌”，提升陆丰产品的竞争力、影响力。</w:t>
      </w:r>
    </w:p>
    <w:p w14:paraId="577471CA">
      <w:pPr>
        <w:snapToGrid/>
        <w:spacing w:before="0" w:beforeAutospacing="0" w:after="0" w:afterAutospacing="0" w:line="600" w:lineRule="exact"/>
        <w:ind w:firstLine="643" w:firstLineChars="200"/>
        <w:jc w:val="both"/>
        <w:textAlignment w:val="baseline"/>
        <w:rPr>
          <w:rFonts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——提升产业产品质量。</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实行“一业一策”制定质量提升方案，推进传统优势工业企业购置先进适用设备，推进工业机器人示范作用，引进自动生产线，普及现代制造模式，全面提高产品技术、工艺装备、能效环保等水平，提升优势传统产业质量。围绕新能源、海工装备、石化等重大科技专项，构建产学研用相结合的研发体系，集中力量在新能源、海工装备制造等产业突破一批关键共性技术。加快建立高标准质量管理体系，推进全产业链质量管理，开展重点行业推行产品合格率100%试点。</w:t>
      </w:r>
    </w:p>
    <w:p w14:paraId="1D522F66">
      <w:pPr>
        <w:snapToGrid/>
        <w:spacing w:before="0" w:beforeAutospacing="0" w:after="0" w:afterAutospacing="0" w:line="600" w:lineRule="exact"/>
        <w:ind w:firstLine="643" w:firstLineChars="200"/>
        <w:jc w:val="both"/>
        <w:textAlignment w:val="baseline"/>
        <w:rPr>
          <w:rFonts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——打造陆丰质量品牌。</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加强城市品牌、企业品牌和产品品牌建设，推动“陆丰产品”向“陆丰品牌”、“陆丰质量”转变。全力打造区域品牌，提升陆丰各产业的品牌影响力。鼓励企业通过增资扩产、相互参股、联合、并购等方式扩大规模，创建一批名牌产品和驰名商标。鼓励有条件的企业开展商标国际注册，推动自主品牌“走出去”，</w:t>
      </w:r>
      <w:r>
        <w:rPr>
          <w:rFonts w:hint="eastAsia" w:ascii="仿宋_GB2312"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提高</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陆丰本地品牌的影响力。加强农产品品牌建设，鼓励注册地理标志证明商标或集体商标，以陆丰农业龙头企业为重点，培育全省乃至全国有较高知名度的农产品品牌。</w:t>
      </w:r>
    </w:p>
    <w:p w14:paraId="5A8A7887">
      <w:pPr>
        <w:snapToGrid/>
        <w:spacing w:before="0" w:beforeAutospacing="0" w:after="0" w:afterAutospacing="0" w:line="600" w:lineRule="exact"/>
        <w:ind w:firstLine="643" w:firstLineChars="200"/>
        <w:jc w:val="both"/>
        <w:textAlignment w:val="baseline"/>
        <w:rPr>
          <w:rFonts w:ascii="仿宋" w:hAnsi="仿宋" w:eastAsia="仿宋"/>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——建立健全质量标准体系。</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完善质量基础设施体系，加强标准、计量、专利体系和能力建设。推动与各级各类标准化组织、标准化机构的标准信息资源交换合作。积极实施重点领域重大装备技术和产品质量攻关项目，加快五金、珠宝首饰、新能源、海工装备制造等产业的标准研制，构建覆盖各产业主要产品并与</w:t>
      </w:r>
      <w:r>
        <w:rPr>
          <w:rFonts w:hint="eastAsia" w:ascii="仿宋_GB2312"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大湾区</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接轨的先进标准体系。</w:t>
      </w:r>
    </w:p>
    <w:p w14:paraId="5A294649">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00" w:name="_Toc14150"/>
      <w:bookmarkStart w:id="101" w:name="_Toc7817"/>
      <w:bookmarkStart w:id="102" w:name="_Toc30876"/>
      <w:bookmarkStart w:id="103" w:name="_Toc3087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第六章 </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完善基础设施</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建设</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强力支撑双</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循环发展新格局</w:t>
      </w:r>
      <w:bookmarkEnd w:id="100"/>
      <w:bookmarkEnd w:id="101"/>
      <w:bookmarkEnd w:id="102"/>
    </w:p>
    <w:p w14:paraId="28918CF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以建成区域综合交通枢纽为目标，推动“五纵五横”交通网络建设，构建现代化综合交通运输体系。</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推进5G网络等新型基础设施建设，力争将陆丰市新型基础设施发展水平进入粤东西北县级市先进行列。强化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能源、水利等重大基础设施建设，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增强陆丰的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社会经济循环发展</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保障能力。</w:t>
      </w:r>
    </w:p>
    <w:p w14:paraId="08C64AD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04" w:name="_Toc10131"/>
      <w:bookmarkStart w:id="105" w:name="_Toc22617"/>
      <w:bookmarkStart w:id="106" w:name="_Toc2563"/>
      <w:r>
        <w:rPr>
          <w:rFonts w:hint="eastAsia" w:ascii="黑体" w:hAnsi="黑体" w:eastAsia="黑体" w:cs="仿宋"/>
          <w:color w:val="000000" w:themeColor="text1"/>
          <w:sz w:val="32"/>
          <w:szCs w:val="32"/>
          <w:highlight w:val="none"/>
          <w14:textFill>
            <w14:solidFill>
              <w14:schemeClr w14:val="tx1"/>
            </w14:solidFill>
          </w14:textFill>
        </w:rPr>
        <w:t>第一节 全力构建顺畅高效的流通体系</w:t>
      </w:r>
      <w:bookmarkEnd w:id="104"/>
      <w:bookmarkEnd w:id="105"/>
      <w:bookmarkEnd w:id="106"/>
    </w:p>
    <w:p w14:paraId="27181332">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陆丰建成区域综合交通枢纽城市为目标，围绕“大通道”“大港航”“大物流”三大目标，推动交通网络建设，构建融湾拓海、立体多元、方便快捷的现代化综合交通运输体系。以高品质的交通服务体系，助力陆丰全面接轨深圳、全力融入“双区”建设。</w:t>
      </w:r>
    </w:p>
    <w:p w14:paraId="41EF816C">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——进一步完善轨道交通网。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依托厦深铁路、汕汕高铁，打造区域铁路枢纽，增强陆丰对外连通度，加快汕汕高铁及陆丰东站、陆丰南站建设，积极谋划推动湖东港疏港铁路前期工作。积极落实粤港澳大湾区相关交通规划，用好海陆丰革命老区关于对境内省管高速公路、国铁干线项目资本金由省级全额承担的利好政策，以铁路、高速公路、国省道和港口建设为重点，推进连接珠三角路网及市域交通网络建设。</w:t>
      </w:r>
    </w:p>
    <w:p w14:paraId="476F1E5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——加快建设干线公路网体系。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智慧立体、方便快捷的现代综合交通体系，缩短与湾区城市尤其是与广、深、港、澳等核心城市的通勤时间，全方位构建与大湾区核心城市l小时经济圈，建设大湾区后花园。建设国、省道干线网，推动市区至汕尾市区快速通道建设，推动接入“三甲”地区高速公路建设。加快完善市域通道，推进沈海高速公路陆丰段改扩建项目、珠（三角）（粤）东沿海快速通道陆丰段新建工程、</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广东滨海旅游公路、</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省道510线河西至西南、国道228线甲子至南塘段、</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国道228线河西至星都段、</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螺河东路、东海、碣石和甲子市政道路等交通基础设施建设。推进市政道路升级改造，升级一批镇区改造工程，加快“四好农村路”建设,提升中心城区对内对外通达能力。优化公交服务和运行线路，改善城区公共交通条件。</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74F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E2A3FB7">
            <w:pPr>
              <w:snapToGrid/>
              <w:spacing w:before="0" w:beforeAutospacing="0" w:after="0" w:afterAutospacing="0" w:line="400" w:lineRule="exact"/>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专栏6-1 陆丰市公路体系建设重点工程</w:t>
            </w:r>
          </w:p>
        </w:tc>
      </w:tr>
      <w:tr w14:paraId="523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C35D0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1.高速公路建设工程：</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加快推进深汕西高速公路扩建工程建设，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重点推动全长约15</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公里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的揭惠高速南延线建设工程建设。</w:t>
            </w:r>
          </w:p>
          <w:p w14:paraId="6638409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2.国道建设工程：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推进国道228线甲子至南塘段、国道228线河西至星都段、国道324线内湖至城东段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广东滨海旅游公路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等一批国道升级改造项目。</w:t>
            </w:r>
          </w:p>
          <w:p w14:paraId="2E3979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3.省道建设工程：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推进省道240线陆丰穿城段、省道510线陆丰市河西至西南段、省道S510陆丰上英至海丰城东段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珠东快速通道陆丰段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省道238线八万至博美段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等一批省道建设工程。</w:t>
            </w:r>
          </w:p>
          <w:p w14:paraId="6F1FE462">
            <w:pPr>
              <w:snapToGrid/>
              <w:spacing w:before="0" w:beforeAutospacing="0" w:after="0" w:afterAutospacing="0" w:line="400" w:lineRule="exact"/>
              <w:ind w:firstLine="562" w:firstLineChars="200"/>
              <w:jc w:val="both"/>
              <w:textAlignment w:val="baseline"/>
              <w:rPr>
                <w:rFonts w:cs="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4.“四好农村路”工程：</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重点推动</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农村公路路面改造、窄路面拓宽，</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螺河东路、东海、碣石和甲子市政道路等交通基础设施建设</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推进</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城东经桥冲至南塘、县道133线博美至碣石段、铜锣湖至南塘段、河东后坎至甘坑段、潭西上埔至上英联海、金厢竹桥经桥冲至甲西段、国道324线麻竹坑至陂洋段、省道240线大安新埔至省道510线西南白沙堆连接线、河西湖田至米坑段、金碣路至金厢山门段、潭西上埔至崎头段等县道升级改造、汕汕高铁陆丰东站和陆丰南站进站道路建设。推动对路面破损严重“四好农村路”进行改造、窄路面进行拓宽改造，结合乡村振兴发展，继续对砂土路进行改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tc>
      </w:tr>
    </w:tbl>
    <w:p w14:paraId="3E1903E1">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——加快港航建设。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陆港海联动发展，建设湖东深水港等一批深水泊位码头及航道，谋划推进陆丰市港区湖东作业区港口疏港铁路项目落地，构筑“融湾”大交通网络。推动形成陆海统筹、港口产业联动发展格局。加速推进陆丰湖东及甲东港区码头规划建设，推动与“双区”核心港口群对接；谋划打通我市与“双区”联络的水路通道。</w:t>
      </w:r>
    </w:p>
    <w:p w14:paraId="04C94120">
      <w:pPr>
        <w:pStyle w:val="10"/>
        <w:snapToGrid/>
        <w:spacing w:before="0" w:beforeAutospacing="0" w:after="120" w:afterAutospacing="0" w:line="240" w:lineRule="auto"/>
        <w:jc w:val="center"/>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b w:val="0"/>
          <w:i w:val="0"/>
          <w:caps w:val="0"/>
          <w:color w:val="000000" w:themeColor="text1"/>
          <w:spacing w:val="0"/>
          <w:w w:val="100"/>
          <w:sz w:val="21"/>
          <w:highlight w:val="none"/>
          <w:u w:val="none" w:color="auto"/>
          <w14:textFill>
            <w14:solidFill>
              <w14:schemeClr w14:val="tx1"/>
            </w14:solidFill>
          </w14:textFill>
        </w:rPr>
        <w:drawing>
          <wp:inline distT="0" distB="0" distL="114300" distR="114300">
            <wp:extent cx="4537075" cy="3522345"/>
            <wp:effectExtent l="0" t="0" r="4445" b="13335"/>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12"/>
                    <a:stretch>
                      <a:fillRect/>
                    </a:stretch>
                  </pic:blipFill>
                  <pic:spPr>
                    <a:xfrm>
                      <a:off x="0" y="0"/>
                      <a:ext cx="4537075" cy="3522345"/>
                    </a:xfrm>
                    <a:prstGeom prst="rect">
                      <a:avLst/>
                    </a:prstGeom>
                  </pic:spPr>
                </pic:pic>
              </a:graphicData>
            </a:graphic>
          </wp:inline>
        </w:drawing>
      </w:r>
    </w:p>
    <w:p w14:paraId="15483F63">
      <w:pPr>
        <w:pStyle w:val="7"/>
        <w:snapToGrid/>
        <w:spacing w:line="240" w:lineRule="auto"/>
        <w:jc w:val="center"/>
        <w:textAlignment w:val="baseline"/>
        <w:rPr>
          <w:rFonts w:hint="eastAsia" w:ascii="黑体" w:hAnsi="黑体" w:eastAsia="黑体" w:cs="仿宋"/>
          <w:color w:val="000000" w:themeColor="text1"/>
          <w:sz w:val="32"/>
          <w:szCs w:val="32"/>
          <w:highlight w:val="none"/>
          <w14:textFill>
            <w14:solidFill>
              <w14:schemeClr w14:val="tx1"/>
            </w14:solidFill>
          </w14:textFill>
        </w:rPr>
      </w:pP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图</w:t>
      </w:r>
      <w:r>
        <w:rPr>
          <w:rFonts w:hint="eastAsia"/>
          <w:b w:val="0"/>
          <w:i w:val="0"/>
          <w:caps w:val="0"/>
          <w:color w:val="000000" w:themeColor="text1"/>
          <w:spacing w:val="0"/>
          <w:w w:val="100"/>
          <w:sz w:val="24"/>
          <w:szCs w:val="24"/>
          <w:highlight w:val="none"/>
          <w:u w:val="none" w:color="auto"/>
          <w14:textFill>
            <w14:solidFill>
              <w14:schemeClr w14:val="tx1"/>
            </w14:solidFill>
          </w14:textFill>
        </w:rPr>
        <w:t>6</w:t>
      </w: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w:t>
      </w:r>
      <w:r>
        <w:rPr>
          <w:b w:val="0"/>
          <w:i w:val="0"/>
          <w:caps w:val="0"/>
          <w:color w:val="000000" w:themeColor="text1"/>
          <w:spacing w:val="0"/>
          <w:w w:val="100"/>
          <w:sz w:val="24"/>
          <w:szCs w:val="24"/>
          <w:highlight w:val="none"/>
          <w:u w:val="none" w:color="auto"/>
          <w14:textFill>
            <w14:solidFill>
              <w14:schemeClr w14:val="tx1"/>
            </w14:solidFill>
          </w14:textFill>
        </w:rPr>
        <w:fldChar w:fldCharType="begin"/>
      </w:r>
      <w:r>
        <w:rPr>
          <w:b w:val="0"/>
          <w:i w:val="0"/>
          <w:caps w:val="0"/>
          <w:color w:val="000000" w:themeColor="text1"/>
          <w:spacing w:val="0"/>
          <w:w w:val="100"/>
          <w:sz w:val="24"/>
          <w:szCs w:val="24"/>
          <w:highlight w:val="none"/>
          <w:u w:val="none" w:color="auto"/>
          <w14:textFill>
            <w14:solidFill>
              <w14:schemeClr w14:val="tx1"/>
            </w14:solidFill>
          </w14:textFill>
        </w:rPr>
        <w:instrText xml:space="preserve"> SEQ 图8- \* ARABIC </w:instrText>
      </w:r>
      <w:r>
        <w:rPr>
          <w:b w:val="0"/>
          <w:i w:val="0"/>
          <w:caps w:val="0"/>
          <w:color w:val="000000" w:themeColor="text1"/>
          <w:spacing w:val="0"/>
          <w:w w:val="100"/>
          <w:sz w:val="24"/>
          <w:szCs w:val="24"/>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1</w:t>
      </w:r>
      <w:r>
        <w:rPr>
          <w:b w:val="0"/>
          <w:i w:val="0"/>
          <w:caps w:val="0"/>
          <w:color w:val="000000" w:themeColor="text1"/>
          <w:spacing w:val="0"/>
          <w:w w:val="100"/>
          <w:sz w:val="24"/>
          <w:szCs w:val="24"/>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szCs w:val="24"/>
          <w:highlight w:val="none"/>
          <w:u w:val="none" w:color="auto"/>
          <w14:textFill>
            <w14:solidFill>
              <w14:schemeClr w14:val="tx1"/>
            </w14:solidFill>
          </w14:textFill>
        </w:rPr>
        <w:t xml:space="preserve"> </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推动</w:t>
      </w:r>
      <w:r>
        <w:rPr>
          <w:rFonts w:hint="eastAsia"/>
          <w:b w:val="0"/>
          <w:i w:val="0"/>
          <w:caps w:val="0"/>
          <w:color w:val="000000" w:themeColor="text1"/>
          <w:spacing w:val="0"/>
          <w:w w:val="100"/>
          <w:sz w:val="24"/>
          <w:szCs w:val="24"/>
          <w:highlight w:val="none"/>
          <w:u w:val="none" w:color="auto"/>
          <w14:textFill>
            <w14:solidFill>
              <w14:schemeClr w14:val="tx1"/>
            </w14:solidFill>
          </w14:textFill>
        </w:rPr>
        <w:t>三甲地区港口</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建设</w:t>
      </w:r>
      <w:r>
        <w:rPr>
          <w:rFonts w:hint="eastAsia"/>
          <w:b w:val="0"/>
          <w:i w:val="0"/>
          <w:caps w:val="0"/>
          <w:color w:val="000000" w:themeColor="text1"/>
          <w:spacing w:val="0"/>
          <w:w w:val="100"/>
          <w:sz w:val="24"/>
          <w:szCs w:val="24"/>
          <w:highlight w:val="none"/>
          <w:u w:val="none" w:color="auto"/>
          <w14:textFill>
            <w14:solidFill>
              <w14:schemeClr w14:val="tx1"/>
            </w14:solidFill>
          </w14:textFill>
        </w:rPr>
        <w:t>，</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推动</w:t>
      </w:r>
      <w:r>
        <w:rPr>
          <w:rFonts w:hint="eastAsia"/>
          <w:b w:val="0"/>
          <w:i w:val="0"/>
          <w:caps w:val="0"/>
          <w:color w:val="000000" w:themeColor="text1"/>
          <w:spacing w:val="0"/>
          <w:w w:val="100"/>
          <w:sz w:val="24"/>
          <w:szCs w:val="24"/>
          <w:highlight w:val="none"/>
          <w:u w:val="none" w:color="auto"/>
          <w14:textFill>
            <w14:solidFill>
              <w14:schemeClr w14:val="tx1"/>
            </w14:solidFill>
          </w14:textFill>
        </w:rPr>
        <w:t>湖东与甲子岸线港产联合发展</w:t>
      </w:r>
      <w:bookmarkStart w:id="107" w:name="_Toc1674"/>
      <w:bookmarkStart w:id="108" w:name="_Toc19536"/>
      <w:bookmarkStart w:id="109" w:name="_Toc30605"/>
    </w:p>
    <w:p w14:paraId="1244612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0" w:name="_Toc14666"/>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07"/>
      <w:bookmarkEnd w:id="108"/>
      <w:bookmarkEnd w:id="109"/>
      <w:bookmarkStart w:id="111" w:name="_Toc32634"/>
      <w:bookmarkStart w:id="112" w:name="_Toc29260"/>
      <w:r>
        <w:rPr>
          <w:rFonts w:hint="eastAsia" w:ascii="黑体" w:hAnsi="黑体" w:eastAsia="黑体" w:cs="仿宋"/>
          <w:color w:val="000000" w:themeColor="text1"/>
          <w:sz w:val="32"/>
          <w:szCs w:val="32"/>
          <w:highlight w:val="none"/>
          <w14:textFill>
            <w14:solidFill>
              <w14:schemeClr w14:val="tx1"/>
            </w14:solidFill>
          </w14:textFill>
        </w:rPr>
        <w:t>加快新型基础设施建设</w:t>
      </w:r>
      <w:bookmarkEnd w:id="110"/>
      <w:bookmarkEnd w:id="111"/>
      <w:bookmarkEnd w:id="112"/>
    </w:p>
    <w:p w14:paraId="2B28CBFD">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推进5G网络等新型基础设施建设，提高信息化水平。以建设网络强市为目标，发挥电信和广播电视运营商的主体作用，强化各部门和各镇街的统筹协调作用，加大建设投入，加强政策扶持，力争用5年左右时间，</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陆丰市新型基础设施建设发展水平进入粤东西北县级市先进行列。</w:t>
      </w:r>
    </w:p>
    <w:p w14:paraId="556A61BD">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——推动5G基站全覆盖。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按照从城区到各镇（园）、主要部门到全行业的次序，推动5G基础基站及相应配套设施有序建设。先期实现主要党政部门、东海镇、碣石镇、甲子镇等镇的5G基站建设，争取在“十四五”时期内，实现陆丰5G基站全域覆盖。进一步提升“互联网+城市管理”的治理水平，夯实陆丰制造业的智能化基础。</w:t>
      </w:r>
    </w:p>
    <w:p w14:paraId="49A0CED3">
      <w:pPr>
        <w:pStyle w:val="10"/>
        <w:snapToGrid/>
        <w:spacing w:before="0" w:beforeAutospacing="0" w:after="120" w:afterAutospacing="0" w:line="240" w:lineRule="auto"/>
        <w:ind w:firstLine="643" w:firstLineChars="200"/>
        <w:jc w:val="both"/>
        <w:textAlignment w:val="baseline"/>
        <w:rPr>
          <w:rFonts w:hint="eastAsia"/>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——建设大数据中心。</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力支持汕尾市参与省数据中心“双核九中心”布局建设，充分发挥陆丰电力能源和土地资源优势，依托革命老区政策红利，发展大数据产业，培育大数据应用场景，促进产业链联动。重点引入三大运营商，京东、华为、百度等龙头企业，加快打造陆丰数字枢纽，深化大数据在社会治理与公共服务、金融、能源、交通、商贸、工业制造等领域协同创新，促进各行业智能化发展。提升大数据安全水平，强化对算力和数据资源的安全防护。</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831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ADA2888">
            <w:pPr>
              <w:pStyle w:val="14"/>
              <w:snapToGrid/>
              <w:spacing w:before="0" w:beforeAutospacing="0" w:after="0" w:afterAutospacing="0" w:line="480" w:lineRule="auto"/>
              <w:ind w:left="0" w:leftChars="0"/>
              <w:jc w:val="center"/>
              <w:textAlignment w:val="baseline"/>
              <w:rPr>
                <w:rFonts w:hint="eastAsia"/>
                <w:b w:val="0"/>
                <w:i w:val="0"/>
                <w:caps w:val="0"/>
                <w:color w:val="000000" w:themeColor="text1"/>
                <w:spacing w:val="0"/>
                <w:w w:val="100"/>
                <w:sz w:val="30"/>
                <w:szCs w:val="30"/>
                <w:highlight w:val="none"/>
                <w:u w:val="none" w:color="auto"/>
                <w:lang w:val="en-US" w:eastAsia="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专栏6-2 新型基础设施建设布局</w:t>
            </w:r>
          </w:p>
        </w:tc>
      </w:tr>
      <w:tr w14:paraId="5B4F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1E077E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1.5G新基建：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加快5G产业园区建设，推动陆丰与汕尾、海丰、陆河等地5G融合应用，推动5G产业合理布局协同发展</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实现全市5G网络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覆盖。</w:t>
            </w:r>
          </w:p>
          <w:p w14:paraId="6C3C408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2.工业互联网：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带动碣石互联网+智慧渔业科创园、广东新能源重点实验室、陆丰农产品电商冷链物流基地等5G+工业互联网应用，打造省级工业互联网标杆示范。推动食品行业申报省级优势产业集群数字化转型试点，打造陆丰市食品产业集群云平台。</w:t>
            </w:r>
          </w:p>
          <w:p w14:paraId="78ADF9AF">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3.大数据中心：</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锁定互联网龙头企业，加快5G和大数据产业链招商。鼓励支持本土电子信息制造业企业布局5G产业配套产品业务，加快形成产品自主供应能力和产业溢出能力，构建和完善产业生态。</w:t>
            </w:r>
          </w:p>
        </w:tc>
      </w:tr>
    </w:tbl>
    <w:p w14:paraId="34A01BE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3" w:name="_Toc5935"/>
      <w:bookmarkStart w:id="114" w:name="_Toc23542"/>
      <w:bookmarkStart w:id="115" w:name="_Toc4878"/>
      <w:r>
        <w:rPr>
          <w:rFonts w:hint="eastAsia" w:ascii="黑体" w:hAnsi="黑体" w:eastAsia="黑体" w:cs="仿宋"/>
          <w:color w:val="000000" w:themeColor="text1"/>
          <w:sz w:val="32"/>
          <w:szCs w:val="32"/>
          <w:highlight w:val="none"/>
          <w14:textFill>
            <w14:solidFill>
              <w14:schemeClr w14:val="tx1"/>
            </w14:solidFill>
          </w14:textFill>
        </w:rPr>
        <w:t>第</w:t>
      </w:r>
      <w:r>
        <w:rPr>
          <w:rFonts w:hint="eastAsia" w:ascii="黑体" w:hAnsi="黑体" w:eastAsia="黑体" w:cs="仿宋"/>
          <w:color w:val="000000" w:themeColor="text1"/>
          <w:sz w:val="32"/>
          <w:szCs w:val="32"/>
          <w:highlight w:val="none"/>
          <w:lang w:val="en-US" w:eastAsia="zh-CN"/>
          <w14:textFill>
            <w14:solidFill>
              <w14:schemeClr w14:val="tx1"/>
            </w14:solidFill>
          </w14:textFill>
        </w:rPr>
        <w:t>三</w:t>
      </w:r>
      <w:r>
        <w:rPr>
          <w:rFonts w:hint="eastAsia" w:ascii="黑体" w:hAnsi="黑体" w:eastAsia="黑体" w:cs="仿宋"/>
          <w:color w:val="000000" w:themeColor="text1"/>
          <w:sz w:val="32"/>
          <w:szCs w:val="32"/>
          <w:highlight w:val="none"/>
          <w14:textFill>
            <w14:solidFill>
              <w14:schemeClr w14:val="tx1"/>
            </w14:solidFill>
          </w14:textFill>
        </w:rPr>
        <w:t>节 完善水利基础设施建设</w:t>
      </w:r>
      <w:bookmarkEnd w:id="113"/>
      <w:bookmarkEnd w:id="114"/>
      <w:bookmarkEnd w:id="115"/>
    </w:p>
    <w:p w14:paraId="47C41D28">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强水利基础设施建设，完善水利防灾减灾体系，提升水安全保障能力。加强中小河流和小流域洪水治理，加快合理高效供水安全保障体系，加强对饮用水源的水质保护，加强螺河综合治理工程建设和加强碣石-湖东、三甲地区的生产生活用水保障。加快能源结构调整及天然气综合应用，大力推进管道燃气基础设施建设，改善大气环境，提升人民生活水平。</w:t>
      </w:r>
    </w:p>
    <w:p w14:paraId="6150FBC7">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——完善全市自来水厂布局建设。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优化城乡供水设施，加快陆城自来水厂和甲子自来水厂建设。进一步推进村村通自来水工程建设，强化镇（场、区）农村供水管理，不断提高农村供水保障能力。</w:t>
      </w:r>
    </w:p>
    <w:p w14:paraId="061E8E79">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——着力保障重大项目的生产用水。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螺河至碣石引水工程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解决陆丰水资源东西分布不均衡问题，重点保障大南海石化产业园汕尾东海岸石化基地、碣石镇核电扩能、海工装备基地-湖东临港产业等重大项目的用水需求。加强对年久失修的排灌系统的维护，减少灌渠末端水资源的浪费，保障南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东南片区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的农业生产用水需求。</w:t>
      </w:r>
    </w:p>
    <w:p w14:paraId="35CF20E4">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——推进中小河流治理、小流域综合治理和内涝整治工程建设。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全面建成流域性防洪骨干工程，基本建成人水和谐的防洪除涝体系，完成3条中小河流治理，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宗小型水库除险加固任务，完成7宗大中型病险水闸工程建设任务，完成螺河桥闸改址重建工程建设；完成5宗小流域综合治理及2个涝区治理工程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着力推进陆丰市中小河流治理工程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（二期）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、碣石镇南溪河整治工程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重点工程建设。市区防洪标准基本达到50年一遇，山区主要乡镇、重要村庄等防洪标准达到10～20年一遇。</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加快日供水能力20万吨的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陆城</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自来水厂建设、陆城供水管网扩建和改造工程建设，提升供水保障水平。</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061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22" w:type="dxa"/>
          </w:tcPr>
          <w:p w14:paraId="0C8E636C">
            <w:pPr>
              <w:pStyle w:val="10"/>
              <w:snapToGrid/>
              <w:spacing w:before="0" w:beforeAutospacing="0" w:after="120" w:afterAutospacing="0" w:line="240" w:lineRule="auto"/>
              <w:jc w:val="center"/>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专栏6-3 水利设施建设布局</w:t>
            </w:r>
          </w:p>
        </w:tc>
      </w:tr>
      <w:tr w14:paraId="7E19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A74167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1.水闸拆除重建工程：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我市列入全国大中型水闸除险加固专项规划的7宗项目（螺河水闸、西围八孔闸，苏区四孔闸、盐埕尾十四孔闸、东河八孔闸、碣石桥闸及湖东桥闸）建设完工，推动西围八孔闸续建完工。推动螺河水闸重建工程列入省政府“一事一议”事项，加快上级补助资金到位。将螺河水闸作为水利最重点的项目申报地方债券中。推动碣石大桥闸、湖东大桥闸、东河八孔闸等水闸加快设计。</w:t>
            </w:r>
          </w:p>
          <w:p w14:paraId="7185A1A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2.海堤尾达标加固工程：</w:t>
            </w:r>
          </w:p>
          <w:p w14:paraId="11730C4E">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推动列入省千里海堤达标加固规划但未实施的乌坎海堤、上英-潭西海堤、碣石海堤、湖东海堤及金厢海堤项目建设。</w:t>
            </w:r>
          </w:p>
          <w:p w14:paraId="4A5DBFB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3.规划水库建设：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对1宗中型水库（五里牌水库）及68宗未加固小型水库进行除险加固工程。加紧开展68宗小型水库安全鉴定工作。推动小型水库安全运行管理标准化建设。</w:t>
            </w:r>
          </w:p>
          <w:p w14:paraId="268B143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4.规划中小河流建设：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加快完成8条总长69.3公里的中小河流治理工作。重点推动12宗新增中小河流治理项目治理。</w:t>
            </w:r>
          </w:p>
          <w:p w14:paraId="242AEAB2">
            <w:pPr>
              <w:snapToGrid/>
              <w:spacing w:before="0" w:beforeAutospacing="0" w:after="0" w:afterAutospacing="0" w:line="400" w:lineRule="exact"/>
              <w:ind w:firstLine="562"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5.新建水</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、泵站及管道</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甲西镇、博美镇、铜锣湖水厂、星都经济开发区泵站建设；实施陆丰市尖山供水站泵房、西南镇水厂、桥冲镇水厂、八万镇下葫村、八万镇双派村、八万镇新坑村、八万镇长桥村、陂洋镇双坑村、陂洋镇古寨村、陂洋镇龙潭村、陂洋镇陂沟、陂洋镇草洋村、陂洋镇内洋村供水站改造升级工程；实施陆丰市螺河至碣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引水</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工程、陆丰市农村集中供水升级改造工程、陆丰市农村集中供水管网扩建工程。</w:t>
            </w:r>
          </w:p>
        </w:tc>
      </w:tr>
    </w:tbl>
    <w:p w14:paraId="553FC84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6" w:name="_Toc4507"/>
      <w:r>
        <w:rPr>
          <w:rFonts w:hint="eastAsia" w:ascii="黑体" w:hAnsi="黑体" w:eastAsia="黑体" w:cs="仿宋"/>
          <w:color w:val="000000" w:themeColor="text1"/>
          <w:sz w:val="32"/>
          <w:szCs w:val="32"/>
          <w:highlight w:val="none"/>
          <w14:textFill>
            <w14:solidFill>
              <w14:schemeClr w14:val="tx1"/>
            </w14:solidFill>
          </w14:textFill>
        </w:rPr>
        <w:t>第</w:t>
      </w:r>
      <w:r>
        <w:rPr>
          <w:rFonts w:hint="eastAsia" w:ascii="黑体" w:hAnsi="黑体" w:eastAsia="黑体" w:cs="仿宋"/>
          <w:color w:val="000000" w:themeColor="text1"/>
          <w:sz w:val="32"/>
          <w:szCs w:val="32"/>
          <w:highlight w:val="none"/>
          <w:lang w:val="en-US" w:eastAsia="zh-CN"/>
          <w14:textFill>
            <w14:solidFill>
              <w14:schemeClr w14:val="tx1"/>
            </w14:solidFill>
          </w14:textFill>
        </w:rPr>
        <w:t>四</w:t>
      </w:r>
      <w:r>
        <w:rPr>
          <w:rFonts w:hint="eastAsia" w:ascii="黑体" w:hAnsi="黑体" w:eastAsia="黑体" w:cs="仿宋"/>
          <w:color w:val="000000" w:themeColor="text1"/>
          <w:sz w:val="32"/>
          <w:szCs w:val="32"/>
          <w:highlight w:val="none"/>
          <w14:textFill>
            <w14:solidFill>
              <w14:schemeClr w14:val="tx1"/>
            </w14:solidFill>
          </w14:textFill>
        </w:rPr>
        <w:t>节 建设现代能源保障体系</w:t>
      </w:r>
      <w:bookmarkEnd w:id="116"/>
    </w:p>
    <w:p w14:paraId="10D6B37C">
      <w:pPr>
        <w:pStyle w:val="10"/>
        <w:snapToGrid/>
        <w:spacing w:before="0" w:beforeAutospacing="0" w:after="120" w:afterAutospacing="0" w:line="240" w:lineRule="auto"/>
        <w:ind w:firstLine="643"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——推动全市管道天然气“镇镇通”工程。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着力推进粤东天然气主干管网建设，带动陆丰燃气管网建设、储气设施建设、燃气设施信息化系统建设和用户燃气设施安装，全面提升管道燃气普及率，完善能源基础设施网络。科学规划，编制燃气管网施工方案。优化设施投资、建设和运营监管制度，紧密政企合作，创新投融资模式，鼓励企业加大投入支持施工；成立管道燃气专项工作组，建立月报和联席会议机制，高效推进工程项目建设，争取在“十四五”末期实现全市管道天然气“镇镇通”。</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p w14:paraId="0E51B020">
      <w:pPr>
        <w:pStyle w:val="10"/>
        <w:snapToGrid/>
        <w:spacing w:before="0" w:beforeAutospacing="0" w:after="120" w:afterAutospacing="0" w:line="240" w:lineRule="auto"/>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——完善区域电网建设。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发挥陆丰电力能源优势，强化电网基础设施建设，提高区域电力交换保障能力，加快完善5</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00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千伏、2</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千伏网主网架和配电网络设施建设，推动工业园区电网配套和农村电网改造。促进电网信息化、智能化发展，搭建安全、可靠、绿色、高效的“智能电网”，建设智能变电站、智能配电网、智能电能表、智能交互终端等。构建现代化供电服务体系，服务支持大湾区、先行示范区高质量发展。</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186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22" w:type="dxa"/>
          </w:tcPr>
          <w:p w14:paraId="5802075D">
            <w:pPr>
              <w:pStyle w:val="10"/>
              <w:snapToGrid/>
              <w:spacing w:before="0" w:beforeAutospacing="0" w:after="120" w:afterAutospacing="0" w:line="240" w:lineRule="auto"/>
              <w:jc w:val="center"/>
              <w:textAlignment w:val="baseline"/>
              <w:rPr>
                <w:rFonts w:hint="default"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专栏6-4 区域电网建设工程</w:t>
            </w:r>
          </w:p>
        </w:tc>
      </w:tr>
      <w:tr w14:paraId="0375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247B7A4">
            <w:pPr>
              <w:numPr>
                <w:ilvl w:val="0"/>
                <w:numId w:val="0"/>
              </w:num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汕尾110千伏输变电工程：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新建110千伏桥冲、图岭、甲东、海仔、凯南、甲西、铜锣湖、玄武、陆西、八万、上英、湖东、金厢、博西变电站及富炜城光伏接入系统、星云至沙埔线路改造工程。</w:t>
            </w:r>
          </w:p>
          <w:p w14:paraId="3E72FAB6">
            <w:pPr>
              <w:numPr>
                <w:ilvl w:val="0"/>
                <w:numId w:val="0"/>
              </w:num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2.汕尾220千伏输变电工程：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新建220千伏星云至陂美线路西湖输变电工程（含110千伏配套线路工程）、陆西输变电工程。</w:t>
            </w:r>
          </w:p>
          <w:p w14:paraId="6B34BCF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3.500汕尾甲子海上风电场项目（一期、二期）接入系统工程：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新建500kV线路92公里，用于甲子海上风电项目接入茅湖变电站。</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 xml:space="preserve">   </w:t>
            </w:r>
          </w:p>
          <w:p w14:paraId="7E411476">
            <w:pPr>
              <w:snapToGrid/>
              <w:spacing w:before="0" w:beforeAutospacing="0" w:after="0" w:afterAutospacing="0" w:line="400" w:lineRule="exact"/>
              <w:ind w:firstLine="562"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4.汕尾500千伏陆丰输变电工程(含千伏配套线路）：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在陆丰陂洋镇附近新建一座500千伏变电站。主变规模：本期2台750兆伏安，终期4台750兆伏安，线路规模：双回送电线路约99千米，单回送电线路约22千米。</w:t>
            </w:r>
          </w:p>
        </w:tc>
      </w:tr>
    </w:tbl>
    <w:p w14:paraId="51F6AD8E">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17" w:name="_Toc18974"/>
      <w:bookmarkStart w:id="118" w:name="_Toc27602"/>
      <w:bookmarkStart w:id="119" w:name="_Toc3187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第七章 突出全面深化改革，扩大高水平对外开放</w:t>
      </w:r>
      <w:bookmarkEnd w:id="117"/>
      <w:bookmarkEnd w:id="118"/>
      <w:bookmarkEnd w:id="119"/>
    </w:p>
    <w:p w14:paraId="18FBE87D">
      <w:pPr>
        <w:snapToGrid/>
        <w:spacing w:before="0" w:beforeAutospacing="0" w:after="0" w:afterAutospacing="0" w:line="600" w:lineRule="exact"/>
        <w:ind w:firstLine="640"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推动全面深化改革，在改革中获取新发展动力。对接大湾区营商环境，</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加快</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政府职能转变，深化简政放权、加强监督、优化服务等多领域改革，减少政府对市场资源的直接配置和对市场活动的直接干预，完善体制机制，充分发挥“市场性决定作用”。</w:t>
      </w:r>
    </w:p>
    <w:p w14:paraId="3134159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0" w:name="_Toc4406"/>
      <w:bookmarkStart w:id="121" w:name="_Toc23539"/>
      <w:bookmarkStart w:id="122" w:name="_Toc15597"/>
      <w:r>
        <w:rPr>
          <w:rFonts w:hint="eastAsia" w:ascii="黑体" w:hAnsi="黑体" w:eastAsia="黑体" w:cs="仿宋"/>
          <w:color w:val="000000" w:themeColor="text1"/>
          <w:sz w:val="32"/>
          <w:szCs w:val="32"/>
          <w:highlight w:val="none"/>
          <w14:textFill>
            <w14:solidFill>
              <w14:schemeClr w14:val="tx1"/>
            </w14:solidFill>
          </w14:textFill>
        </w:rPr>
        <w:t>第一节 全面深化经济领域改革</w:t>
      </w:r>
      <w:bookmarkEnd w:id="120"/>
      <w:bookmarkEnd w:id="121"/>
      <w:bookmarkEnd w:id="122"/>
    </w:p>
    <w:p w14:paraId="5FDD2BC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——深化国企国资改革。</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构建长效机制，制定实施国企国资改革行动方案，明确服务改革的目标任务和支持方向。优化国资布局，立足开发建设、产业发展和民生服务融合发展的定位，推动商贸业等传统产业创新转型；优化国企运营，加快“僵尸企业”出清重组，以国有企业为主体，市场为导向，通过管理创新、技术创新和模式创新打造品牌国企，通过数字化升级提升国企运营能力，提升企业核心竞争力；优化国资监管，完善国有企业法人治理结构和市场化经营机制，形成以管资本为主的国有资产监管体制，完善企业现代治理体系，深化国有企业混合所有制改革，深化国有资本投资、运营公司改革；优化国企党建，坚持党建引领，发挥国有企业政治优势，推动党建与生产经营深度融合，以高质量党建引领高质量发展。</w:t>
      </w:r>
    </w:p>
    <w:p w14:paraId="625FBF0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——推进现代财税体制改革。</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政府预算体系，加强政府性基金预算、国有资本经营预算、社会保险基金预算与一般公共预算统筹衔接，加强对公共资源的综合管理，依托行政权力和国有资源（资产）收入以及特许经营权拍卖收入等按规定全面纳入预算管理。推进财政支出标准化，加强普惠性、基础性、兜底性民生建设，健全基本公共服务保障标准，探索基本公共服务项目清单化管理，增强基层公共服务保障能力。强化预算约束和预算绩效管理，推进绩效指标体系建设，完善预算绩效管理考核，提升财政资源配置和资金使用效益，落实税收征管制度，推进依法治税。健全落实国家财政政策和货币政策的有效机制，提高经济治理能力。</w:t>
      </w:r>
    </w:p>
    <w:p w14:paraId="6A72993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——优化创新投融资体制机制。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开发机制，推进基础设施建设和土地开发相结合，构建基础设施条件改善带动土地升值，土地升值收益用于基础设施建设的城市建设资金良性循环。加强政府投资管理，以非经营性项目为主，资金重点投向社会公益服务、公共基础设施、农业农村、生态环境保护和修复、重大科技进步、社会管理、国家安全等公共领域的项目。规范政府投资行为，统筹安排、规范使用各类政府投资资金。强化政府投资项目过程管理，改进和规范政府投资项目审批制度，加强政府投资项目建设管理，完善政府投资监管机制和竣工验收制度，建立社会监督机制，推动政府投资信息公开。</w:t>
      </w:r>
    </w:p>
    <w:p w14:paraId="405CAD50">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3" w:name="_Toc26326"/>
      <w:bookmarkStart w:id="124" w:name="_Toc22951"/>
      <w:bookmarkStart w:id="125" w:name="_Toc21863"/>
      <w:r>
        <w:rPr>
          <w:rFonts w:hint="eastAsia" w:ascii="黑体" w:hAnsi="黑体" w:eastAsia="黑体" w:cs="仿宋"/>
          <w:color w:val="000000" w:themeColor="text1"/>
          <w:sz w:val="32"/>
          <w:szCs w:val="32"/>
          <w:highlight w:val="none"/>
          <w14:textFill>
            <w14:solidFill>
              <w14:schemeClr w14:val="tx1"/>
            </w14:solidFill>
          </w14:textFill>
        </w:rPr>
        <w:t>第二节 全面发挥市场在资源配置决定作</w:t>
      </w:r>
      <w:bookmarkEnd w:id="123"/>
      <w:bookmarkEnd w:id="124"/>
      <w:r>
        <w:rPr>
          <w:rFonts w:hint="eastAsia" w:ascii="黑体" w:hAnsi="黑体" w:eastAsia="黑体" w:cs="仿宋"/>
          <w:color w:val="000000" w:themeColor="text1"/>
          <w:sz w:val="32"/>
          <w:szCs w:val="32"/>
          <w:highlight w:val="none"/>
          <w14:textFill>
            <w14:solidFill>
              <w14:schemeClr w14:val="tx1"/>
            </w14:solidFill>
          </w14:textFill>
        </w:rPr>
        <w:t>用</w:t>
      </w:r>
      <w:bookmarkEnd w:id="125"/>
    </w:p>
    <w:p w14:paraId="7FB50E7C">
      <w:pPr>
        <w:pStyle w:val="10"/>
        <w:snapToGrid/>
        <w:spacing w:before="0" w:beforeAutospacing="0" w:after="120" w:afterAutospacing="0" w:line="240" w:lineRule="auto"/>
        <w:ind w:firstLine="640"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充分发挥市场在资源配置中的决定性作用，推动土地、劳动力、资本、技术、数据五个要素市场化配置改革。深化土地制度改革，建立土地二级市场交易实施细则，加强监管服务，实现土地要素流通顺畅，提高存量土地资源配置效率；制订低效存量土地分类处置方案，推进国有企业存量土地盘活利用；提出制定土地利用计划管理实施细则，完善园区用地保障机制，充分释放土地红利。畅通人才流动渠道，建立健全规范的人力资源市场体系，完善各类人才政策，加大引才引智力度，推进人才有序流动。发挥好资本市场作用，全力冲刺上市企业“破零”目标，建立促进企业上市挂牌工作机制，引导企业拓宽融资渠道，提供企业上市挂牌“一条龙”服务，加大直接帮扶力度，全方位营造企业上市环境；促进技术流动，加快培育技术要素市场，加速科技成果转化、提高自主创新能力。培育数据新型生产要素市场，推动数据开放共享，完善基础数据库，建立健全数据开放、共享、交换的协调机制，建立统一的数据管理制度，提升数据资源价值。</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p w14:paraId="4EF6725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6" w:name="_Toc22034"/>
      <w:bookmarkStart w:id="127" w:name="_Toc28085"/>
      <w:bookmarkStart w:id="128" w:name="_Toc10103"/>
      <w:r>
        <w:rPr>
          <w:rFonts w:hint="eastAsia" w:ascii="黑体" w:hAnsi="黑体" w:eastAsia="黑体" w:cs="仿宋"/>
          <w:color w:val="000000" w:themeColor="text1"/>
          <w:sz w:val="32"/>
          <w:szCs w:val="32"/>
          <w:highlight w:val="none"/>
          <w:lang w:val="en-US" w:eastAsia="zh-CN"/>
          <w14:textFill>
            <w14:solidFill>
              <w14:schemeClr w14:val="tx1"/>
            </w14:solidFill>
          </w14:textFill>
        </w:rPr>
        <w:t xml:space="preserve">第三节 </w:t>
      </w:r>
      <w:r>
        <w:rPr>
          <w:rFonts w:hint="eastAsia" w:ascii="黑体" w:hAnsi="黑体" w:eastAsia="黑体" w:cs="仿宋"/>
          <w:color w:val="000000" w:themeColor="text1"/>
          <w:sz w:val="32"/>
          <w:szCs w:val="32"/>
          <w:highlight w:val="none"/>
          <w14:textFill>
            <w14:solidFill>
              <w14:schemeClr w14:val="tx1"/>
            </w14:solidFill>
          </w14:textFill>
        </w:rPr>
        <w:t>全面加快转变政府职能</w:t>
      </w:r>
      <w:bookmarkEnd w:id="126"/>
      <w:bookmarkEnd w:id="127"/>
      <w:bookmarkEnd w:id="128"/>
    </w:p>
    <w:p w14:paraId="50B0CA1E">
      <w:pPr>
        <w:snapToGrid/>
        <w:spacing w:before="0" w:beforeAutospacing="0" w:after="0" w:afterAutospacing="0" w:line="600" w:lineRule="exact"/>
        <w:ind w:firstLine="643"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——完善政府治理体系。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机构、职能、权限、程序、责任法定化，构建职责明确、依法行政的政府治理体系。深入推进简政放权、放管结合、优化服务，全面实行政府权责清单制度。构建简约高效的基层管理体制，扎实推进基层治理体系和治理能力建设。健全重大政策事前评估和事后评价制度，加大政务公开力度，提高决策科学化、民主化、法治化水平。对照中央和省级机构改革，调整优化县级党政机构和职能，建立健全和优化市委对重大工作的领导体制机制，加强市委职能部门的统一归口协调管理职能，新组建和优化职责的机构。建立与中央和省级机构基本对应的机构和因地制宜设置机构。</w:t>
      </w:r>
    </w:p>
    <w:p w14:paraId="7E0593D3">
      <w:pPr>
        <w:snapToGrid/>
        <w:spacing w:before="0" w:beforeAutospacing="0" w:after="0" w:afterAutospacing="0" w:line="600" w:lineRule="exact"/>
        <w:ind w:firstLine="643"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——优化市场化法治化国际化营商环境。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放管服”改革，加快政府职能转变，减少政府对市场资源的直接配置和对市场活动的直接干预。分类推进行政审批制度改革，明确审批责任，深化“证照分离”和“最多跑一次”改革，探索优化“并联审批、限时办结”制度，降低市场主体办事成本，提升政务服务效能。坚持放管结合，以公正监管促进公平竞争。创新包容审慎监管，促进新兴产业加快发展。全面构建“服务型”政府，进一步增强服务意识，推进政务公开，创新服务方式，提高办事效率，更新服务理念。</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16C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FE6ACB7">
            <w:pPr>
              <w:pStyle w:val="6"/>
              <w:snapToGrid/>
              <w:spacing w:before="0" w:beforeAutospacing="0" w:after="0" w:afterAutospacing="0" w:line="240" w:lineRule="auto"/>
              <w:ind w:firstLine="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7-1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打造一流营商环境重点工程</w:t>
            </w:r>
          </w:p>
        </w:tc>
      </w:tr>
      <w:tr w14:paraId="600F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E65B9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1.推进企业开办登记便利化：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压缩企业开办时间，企业设立登记在1个工作日内完成。推行全程电子化商事登记，实现市场主体的设立、变更、备案、注销等各个环节均可通过互联网办理。</w:t>
            </w:r>
          </w:p>
          <w:p w14:paraId="5AFB718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2.推进工程建设项目便利化：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深化工程建设项目审批制度改革，围绕“最多跑一次”的目标，优化工程建设项目审批流程，压减审批时限。大力推动行政审批全面提速。力争实现政府投资项目审批时间压缩至80个工作日内，政府投资小型项目审批时间控制在28个工作日内；社会投资项目审批时间压缩至35个工作日内。</w:t>
            </w:r>
          </w:p>
          <w:p w14:paraId="61C1448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3.升级改造工程：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推进不动产登记便利化，落实“互联网+不动产登记”“不动产登记+金融服务”要求，优化不动产登记流程，压缩办结时间，提升不动产登记服务水平。</w:t>
            </w:r>
          </w:p>
          <w:p w14:paraId="1D9D409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4.推进企业投资项目落地便利化：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建立多部门项目审批并联机制，减少申请材料、“容缺受理”和限时办结制度，实现审批时限提速50%以上。</w:t>
            </w:r>
          </w:p>
          <w:p w14:paraId="07BA79B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5.推进纳税便利化：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推广“非接触式”办税缴费服务，争取电子税务业务办理使用率为90%以上。</w:t>
            </w:r>
          </w:p>
          <w:p w14:paraId="7F7482B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6.推进获得用水用电用气便利化: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推动企业用水用电用气业务办理全流程重构，优化审批流程，压缩办理时限。</w:t>
            </w:r>
          </w:p>
          <w:p w14:paraId="538A089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7.推进信贷便利化: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推进信贷便利化，助力企业复工复产，加大对小微企业、乡村振兴、精准扶贫、生态环境治理等领域的信贷支持。</w:t>
            </w:r>
          </w:p>
          <w:p w14:paraId="2043B0E9">
            <w:pPr>
              <w:snapToGrid/>
              <w:spacing w:before="0" w:beforeAutospacing="0" w:after="0" w:afterAutospacing="0" w:line="400" w:lineRule="exact"/>
              <w:ind w:firstLine="562" w:firstLineChars="200"/>
              <w:jc w:val="both"/>
              <w:textAlignment w:val="baseline"/>
              <w:rPr>
                <w:rFonts w:cs="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8.营造更加开放的投资环境:</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eastAsia="zh-CN"/>
                <w14:textFill>
                  <w14:solidFill>
                    <w14:schemeClr w14:val="tx1"/>
                  </w14:solidFill>
                </w14:textFill>
              </w:rPr>
              <w:t>全面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深化改革，加大招商引资力度，营造更加开放的投资环境。</w:t>
            </w:r>
          </w:p>
        </w:tc>
      </w:tr>
    </w:tbl>
    <w:p w14:paraId="3B5EF1A0">
      <w:pPr>
        <w:snapToGrid/>
        <w:spacing w:before="0" w:beforeAutospacing="0" w:after="0" w:afterAutospacing="0" w:line="600" w:lineRule="exact"/>
        <w:ind w:firstLine="643" w:firstLineChars="200"/>
        <w:jc w:val="both"/>
        <w:textAlignment w:val="baseline"/>
        <w:rPr>
          <w:rFonts w:ascii="仿宋_GB2312" w:hAnsi="宋体"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——加快政府数字化转型。</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充分利用互联网、大数据、人工智能等数字技术，以数据治理为核心手段，围绕决策科学、治理精细、服务高效的目标，推动陆丰政务服务向数字化、智能化转型。推行</w:t>
      </w:r>
      <w:r>
        <w:rPr>
          <w:rFonts w:hint="eastAsia" w:ascii="仿宋_GB2312" w:hAnsi="宋体" w:eastAsia="仿宋_GB2312"/>
          <w:b w:val="0"/>
          <w:i w:val="0"/>
          <w:caps w:val="0"/>
          <w:color w:val="000000" w:themeColor="text1"/>
          <w:spacing w:val="0"/>
          <w:w w:val="100"/>
          <w:sz w:val="32"/>
          <w:szCs w:val="32"/>
          <w:highlight w:val="none"/>
          <w:u w:val="none" w:color="auto"/>
          <w14:textFill>
            <w14:solidFill>
              <w14:schemeClr w14:val="tx1"/>
            </w14:solidFill>
          </w14:textFill>
        </w:rPr>
        <w:t>“一网通办、智慧‘秒批’、精准服务”政务服务模式，加快实现“八个便利化”。持续推进“减证便民”行动，加快打造“无证明城市”。推行“六个通办”，全面推进民生事项“一证通办”，探索企业事项“一码通办”。依托市政务服务平台和基层公共服务平台，推动政务云建设，开展“互联网+政务服务”改革，推进高频政务服务事项进驻“粤省事”“粤商通”等自助终端办理，推行一站式“指尖办理”。</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988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663FA27">
            <w:pPr>
              <w:snapToGrid/>
              <w:spacing w:before="0" w:beforeAutospacing="0" w:after="0" w:afterAutospacing="0" w:line="400" w:lineRule="exact"/>
              <w:jc w:val="center"/>
              <w:textAlignment w:val="baseline"/>
              <w:rPr>
                <w:b/>
                <w:bCs/>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专栏7-2 陆丰市“数字政府”重点工程</w:t>
            </w:r>
          </w:p>
        </w:tc>
      </w:tr>
      <w:tr w14:paraId="0603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BC1F2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1.加强云、网、数等信息基础建设：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加速市民服务广场“5G+”智慧大厅建设，打造“群众点菜、政府端菜”的“中央厨房”。</w:t>
            </w:r>
          </w:p>
          <w:p w14:paraId="683C9F2C">
            <w:pPr>
              <w:snapToGrid/>
              <w:spacing w:before="0" w:beforeAutospacing="0" w:after="0" w:afterAutospacing="0" w:line="400" w:lineRule="exact"/>
              <w:ind w:firstLine="562" w:firstLineChars="200"/>
              <w:jc w:val="both"/>
              <w:textAlignment w:val="baseline"/>
              <w:rPr>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2.加快一体化政务服务平台建设：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公布全市不少于200个“四免”事项及优化措施；拓展高频事项用证渠道和业务场景，积极推进“免证办”；优化进驻实体政务大厅事项办理流程，推动“一件事”审批流程再造；完成50个以上全城“一地通办”事项的深度梳理优化。</w:t>
            </w:r>
          </w:p>
        </w:tc>
      </w:tr>
    </w:tbl>
    <w:p w14:paraId="46AF8BB2">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9" w:name="_Toc21563"/>
      <w:r>
        <w:rPr>
          <w:rFonts w:hint="eastAsia" w:ascii="黑体" w:hAnsi="黑体" w:eastAsia="黑体" w:cs="仿宋"/>
          <w:color w:val="000000" w:themeColor="text1"/>
          <w:sz w:val="32"/>
          <w:szCs w:val="32"/>
          <w:highlight w:val="none"/>
          <w14:textFill>
            <w14:solidFill>
              <w14:schemeClr w14:val="tx1"/>
            </w14:solidFill>
          </w14:textFill>
        </w:rPr>
        <w:t>第四节 坚持高质量招商引资打造对外开放新高地</w:t>
      </w:r>
      <w:bookmarkEnd w:id="129"/>
    </w:p>
    <w:p w14:paraId="19AC33DB">
      <w:pPr>
        <w:snapToGrid/>
        <w:spacing w:before="0" w:beforeAutospacing="0" w:after="0" w:afterAutospacing="0" w:line="600" w:lineRule="exact"/>
        <w:ind w:firstLine="640" w:firstLineChars="200"/>
        <w:jc w:val="left"/>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主导产业，制定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“建链、补链、延链、强链”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的招商引资方案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综合发挥政府、龙头企业、商会、乡贤等力量，</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瞄准国内外百强企业、行业龙头企业、国企央企、知名中介机构和投资促进机构等，开展精准招商，引进战略投资者、产业龙头企业、科技领军企业和技术研发机构。着力引进金融、物流、信息服务、电子商务、科技服务、商贸会展、商务服务等生产性服务业项目。加强和完善招商引资机制，搭建市场化招商平台，积极参与广交会、进博会、海博会、深圳高交会、珠宝展等重要展会，加强与粤港澳大湾区联合推介与招商，提升招商实效。加快推进“乡贤经济”计划，发挥各地商会组织作用，整合利用乡贤资源，形成“百企回陆、千商返乡”壮丽局面，多形式搭建对外开放平台，汇聚“陆丰人经济”资源。</w:t>
      </w:r>
    </w:p>
    <w:p w14:paraId="6BF71EC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0" w:name="_Toc17602"/>
      <w:r>
        <w:rPr>
          <w:rFonts w:hint="eastAsia" w:ascii="黑体" w:hAnsi="黑体" w:eastAsia="黑体" w:cs="仿宋"/>
          <w:color w:val="000000" w:themeColor="text1"/>
          <w:sz w:val="32"/>
          <w:szCs w:val="32"/>
          <w:highlight w:val="none"/>
          <w14:textFill>
            <w14:solidFill>
              <w14:schemeClr w14:val="tx1"/>
            </w14:solidFill>
          </w14:textFill>
        </w:rPr>
        <w:t>第五节 积极主动参与“一带一路”建设对外开放</w:t>
      </w:r>
      <w:bookmarkEnd w:id="130"/>
    </w:p>
    <w:p w14:paraId="22CCF888">
      <w:pPr>
        <w:snapToGrid/>
        <w:spacing w:before="0" w:beforeAutospacing="0" w:after="0" w:afterAutospacing="0" w:line="600" w:lineRule="exact"/>
        <w:ind w:firstLine="640" w:firstLineChars="200"/>
        <w:jc w:val="left"/>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坚持共商共建共享原则，秉持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一体共赢</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理念，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统筹发展与安全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拓展形成多方多领域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共同发展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渠道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重点围绕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战略性新兴产业、临港工业和能源产业、传统优势产业</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加强国际合作</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构筑互利共赢的产业链供应链合作体系，扩大双向贸易和投资。积极参与“一带一路”共建国家境外经贸活动，深化公共卫生、数字经济、绿色发展、科技教育合作，促进人文交流。深入学习中国（广东）自由贸易试验区成功经验，推动贸易和投资自由化便利化，推进贸易创新发展，增强对外贸易综合竞争力。积极推动国际贸易“单一窗口”全覆盖，进一步简化通关流程。主动对接好深圳自贸片区，培育壮大</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参与外循环发展的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新增长点。</w:t>
      </w:r>
    </w:p>
    <w:p w14:paraId="232B3C4C">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31" w:name="_Toc7692"/>
      <w:bookmarkStart w:id="132" w:name="_Toc20395"/>
      <w:bookmarkStart w:id="133" w:name="_Toc12196"/>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第</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八</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 xml:space="preserve">章 </w:t>
      </w:r>
      <w:bookmarkEnd w:id="96"/>
      <w:bookmarkEnd w:id="103"/>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加大农业农村发展力度，全面推进乡村振兴</w:t>
      </w:r>
      <w:bookmarkEnd w:id="131"/>
      <w:bookmarkEnd w:id="132"/>
      <w:bookmarkEnd w:id="133"/>
    </w:p>
    <w:p w14:paraId="73417B84">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深入推动乡村建设，加快推进</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5+2</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农村综合改革，进一步补齐农村公共服务短板。通过深化帮扶及造血机制，拓展脱贫攻坚成果和城乡综合治理体系</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推动脱贫攻坚与乡村振兴有效衔接。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紧密对接粤港澳大湾区对优质绿色农产品的需求，大力发展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都市型现代精品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具有</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特色的优质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农产品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供应基地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乡村振兴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全面发展。</w:t>
      </w:r>
    </w:p>
    <w:p w14:paraId="4B6769D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4" w:name="_Toc16677"/>
      <w:bookmarkStart w:id="135" w:name="_Toc16510"/>
      <w:bookmarkStart w:id="136" w:name="_Toc18133"/>
      <w:bookmarkStart w:id="137" w:name="_Toc5838"/>
      <w:r>
        <w:rPr>
          <w:rFonts w:hint="eastAsia" w:ascii="黑体" w:hAnsi="黑体" w:eastAsia="黑体" w:cs="仿宋"/>
          <w:color w:val="000000" w:themeColor="text1"/>
          <w:sz w:val="32"/>
          <w:szCs w:val="32"/>
          <w:highlight w:val="none"/>
          <w14:textFill>
            <w14:solidFill>
              <w14:schemeClr w14:val="tx1"/>
            </w14:solidFill>
          </w14:textFill>
        </w:rPr>
        <w:t>第一节 实施乡村建设行动</w:t>
      </w:r>
      <w:bookmarkEnd w:id="134"/>
      <w:bookmarkEnd w:id="135"/>
      <w:bookmarkEnd w:id="136"/>
      <w:bookmarkEnd w:id="137"/>
    </w:p>
    <w:p w14:paraId="2CE80FF0">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分阶段推动乡村建设落到实处，重点推动人居环境整治、生活垃圾处理、污水治理、道路设施建设和农村房屋改造，着力打造乡村振兴示范带。到2022年，全市60%以上行政村达到美丽宜居村标准。主要交通干道、河流沿线连线连片建设初见成效；支持有条件的村庄率先创建一批特色精品村。到2025年，全市80%以上行政村达到美丽宜居村标准。</w:t>
      </w:r>
    </w:p>
    <w:p w14:paraId="51B4830A">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持续推进农村人居环境综合整治</w:t>
      </w:r>
    </w:p>
    <w:p w14:paraId="20F651B7">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开展“三清理三拆除三整治”行动。以城郊村、交通干道沿线、河道两旁村庄为重点，开展环境卫生集中整治行动，集中力量消灭辖区卫生死角。落实环境卫生网格化管理制度，加快建立农村人居环境整治长效管护和运行机制。研究启动农场、林场人居环境整治工作。</w:t>
      </w:r>
    </w:p>
    <w:p w14:paraId="1E8E58AE">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加快推进生活垃圾治理</w:t>
      </w:r>
    </w:p>
    <w:p w14:paraId="3523BB1E">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农村生活垃圾农户分类、回收利用、设施提升、制度建设、长效管理五大行动。完善农村生活垃圾户分类、村收集、转运处理和就地处理模式。落实《汕尾城乡生活垃圾分类实施方案》，推广先进城市农村生活垃圾分类试点经验，提高农村生活垃圾分类覆盖面。开展以乡镇为单元的环卫保洁试点，城区、中心镇、示范村要率先打造“全国最干净最整洁地区（村庄）”。健全农村卫生保洁长效运营机制，加快生活垃圾分类处理终端建设。到2025年，收运处置体系覆盖所有自然村组并实现稳定运行，全市基本建成农村生活垃圾分类处理系统。</w:t>
      </w:r>
    </w:p>
    <w:p w14:paraId="0095607A">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加强农村生活污水治理</w:t>
      </w:r>
    </w:p>
    <w:p w14:paraId="5A7A5297">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做好农村生活污水治理与改厕统筹工作，进一步做好在规划布局、建设时序等方面的工作衔接。坚持实事求是、因地制宜、建管并重的原则，选用农村生活污水治理模式及处理技术工艺，统筹考虑农村生活污水治理设施建设和运行维护。优先治理重点国考断面水质达标控制单元、饮用水水源保护区和省“千村示范、万村整治”工程示范县镇村、美丽乡村景观示范带等重点区域。将城镇周边的村庄、渔村、渔港生活污水优先纳入城镇污水处理系统统一处理。人口规模较大的村庄优先建设集中式污水处理设施；边缘村庄采用小型分散式污水处理设施；水环境较好、人口较少村庄生活污水因地制宜，自净消纳。2025年，</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力争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全市95%以上行政村建有污水处理设施。</w:t>
      </w:r>
    </w:p>
    <w:p w14:paraId="7C189658">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推进村道和村内道路硬化</w:t>
      </w:r>
    </w:p>
    <w:p w14:paraId="263B7166">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推进创建“四好（建好、管好、护好、运营好）农村路”工作，统筹推进市域道路建设，全面推进乡镇（街道）通行政村公路改造、村委会通自然村村道路面硬化、自然村村内道路硬化3类道路基础设施建设。大力开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四好农村路</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创建工作。加快改造连接现代农业产业园区、林场、旅游景点的农村公路，加快推进农村公路安全生命防护工程、危桥改造和通20户（100人）自然村公路路面硬底化，推动农村泥土路在全部硬底化的基础上，进一步拓宽。到2025年，自然村完成村内道路硬化。</w:t>
      </w:r>
    </w:p>
    <w:p w14:paraId="6B1060B3">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推进村庄集中供水</w:t>
      </w:r>
    </w:p>
    <w:p w14:paraId="3151360D">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城乡供水统筹，以城带乡策略。市级城乡供水工作，规模化和城乡一体化工程基本实现城乡供水同网、同质、同服务，地处偏远、人口分散地区采取小型集中供水工程供水，由城乡供水统管机构落实工程维修养护责任。到2025年，陆丰范围自然村实现集中供水全覆盖，全市农村自来水普及率进一步提高。</w:t>
      </w:r>
    </w:p>
    <w:p w14:paraId="5E884F3C">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规范农房改造建设和风貌提升</w:t>
      </w:r>
    </w:p>
    <w:p w14:paraId="0FCDBDBE">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突出农房建设的体制机制建设。完善农村宅基地和农房建设管理的政策，制定农房管控的正面、负面清单，建立健全农村住房报建管理制度。注重点、线、面相结合，整体推进农村风貌提升，加快形成农村风貌带。推进农户房前屋后院内、村道巷道、村边水边、空地闲地绿化美化，打造农村“四小园”。在保护各级历史文化名村、传统村落和各级不可移动文物、历史建筑，以及具有价值的传统建（构）筑构件的前提下，加快推进农村破旧泥砖房清理整治。深入推进农村削坡建房风险点排查，加大农村削坡建房风险点整治力度，消除安全隐患。进农村风貌提升，深入推进“两违”建筑清拆整治工作，探索农村住房报建管理制度，推广使用农房设计通用图则。对铁路、国省道、主要海滨河流沿线、南越古驿道、A级旅游景区进行复垦复绿。2025年底前，基本完成农村旧房整治，基本实现农村住房外观整洁、建设有序、管理规范。</w:t>
      </w:r>
    </w:p>
    <w:p w14:paraId="6AB3254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8" w:name="_Toc58320413"/>
      <w:bookmarkStart w:id="139" w:name="_Toc3674"/>
      <w:bookmarkStart w:id="140" w:name="_Toc823"/>
      <w:bookmarkStart w:id="141" w:name="_Toc11290"/>
      <w:bookmarkStart w:id="142" w:name="_Toc4688"/>
      <w:bookmarkStart w:id="143" w:name="_Toc8916"/>
      <w:bookmarkStart w:id="144" w:name="_Toc58320411"/>
      <w:r>
        <w:rPr>
          <w:rFonts w:hint="eastAsia" w:ascii="黑体" w:hAnsi="黑体" w:eastAsia="黑体" w:cs="仿宋"/>
          <w:color w:val="000000" w:themeColor="text1"/>
          <w:sz w:val="32"/>
          <w:szCs w:val="32"/>
          <w:highlight w:val="none"/>
          <w14:textFill>
            <w14:solidFill>
              <w14:schemeClr w14:val="tx1"/>
            </w14:solidFill>
          </w14:textFill>
        </w:rPr>
        <w:t>第二节 促进脱贫攻坚与乡村振兴有机衔接</w:t>
      </w:r>
      <w:bookmarkEnd w:id="138"/>
      <w:bookmarkEnd w:id="139"/>
      <w:bookmarkEnd w:id="140"/>
      <w:bookmarkEnd w:id="141"/>
      <w:bookmarkEnd w:id="142"/>
    </w:p>
    <w:p w14:paraId="737B80F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cs="仿宋_GB2312"/>
          <w:b/>
          <w:bCs/>
          <w:i w:val="0"/>
          <w:caps w:val="0"/>
          <w:color w:val="000000" w:themeColor="text1"/>
          <w:spacing w:val="0"/>
          <w:w w:val="100"/>
          <w:sz w:val="32"/>
          <w:szCs w:val="32"/>
          <w:highlight w:val="none"/>
          <w:u w:val="none" w:color="auto"/>
          <w:lang w:bidi="ar"/>
          <w14:textFill>
            <w14:solidFill>
              <w14:schemeClr w14:val="tx1"/>
            </w14:solidFill>
          </w14:textFill>
        </w:rPr>
        <w:t>——促进农民收入稳定增长。</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拓宽农民增收渠道，健全城乡均等的公共就业创业服务制度，增加就业岗位和创业机会。通过利润返还、保底分红、股份合作等多种形式</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企业与农民利益联结机制，引导农户自愿以土地经营权等入股企业。促进小农户和现代农业发展有机衔接，推动农业提质增效转型升级，建立农产品优质优价正向激励机制，提高农民经营性收入。深化农村土地股份制改革，盘活农村各类资源，鼓励</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将农村集体经营性资产以股份或份额形式量化到本集体成员，增加农民财产性收入。完善涉农补贴政策，探索建立普惠性农民补贴长效机制。健全稳定可持续的脱贫长效机制，完善“市抓落实、镇（场、区）推进和实施”的工作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改进帮扶方式方法，开展扶贫扶志行动，更多采用生产奖补、劳务补助等机制，推动贫困群众脱贫致富。</w:t>
      </w:r>
    </w:p>
    <w:p w14:paraId="059ACB13">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——推动脱贫攻坚与乡村振兴有效衔接。</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深化帮扶及造血机制，拓展脱贫攻坚成果。</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农村低收入人口和欠发达地区帮扶机制，保持财政投入力度总体稳定，接续推进脱贫地区发展。健全防止返贫监测和帮扶机制，做好易地扶贫搬迁后续帮扶工作，加强扶贫项目资金资产管理和监督，推动特色产业可持续发展。健全农村社会保障和救助制度。完善对口支援、社会力量参与帮扶等机制。建立致贫或返贫风险评估体系，做好城乡人口大数据动态监测，及时解决因意外致贫、返贫等问题。健全会服务体系，提倡发展社区、康复中心、家政等智能服务，提高农村养老、住房和教育保障水平，完善医疗、就业等专项救助制度。高标准推进现代农业产业园建设，发展现代化产业链和产业集群，推动产业经济深度发展；建立“互联网+乡村”市场信息咨询平台，实现乡村就业与企业用工需求结合，创新驱动农村电子商务，推动物流产业链发展，搭建产销对接平台，解决产品供销、流通难问题。筑牢基层战斗堡垒，加强基层党建智能服务。</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F80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29840FE">
            <w:pPr>
              <w:pStyle w:val="14"/>
              <w:snapToGrid/>
              <w:spacing w:before="0" w:beforeAutospacing="0" w:after="0" w:afterAutospacing="0" w:line="400" w:lineRule="exact"/>
              <w:ind w:left="0" w:leftChars="0"/>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专栏8-1：乡村振兴重点工程</w:t>
            </w:r>
          </w:p>
        </w:tc>
      </w:tr>
      <w:tr w14:paraId="2CEE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71B8DE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1.现代农业招商工程：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利用农业资源，主动对接台湾、山东、福建等蔬果、茶叶生产基地投资企业前来投资，重点发展岭南特色水果、品牌蔬菜、茶叶、南药等生态高效产业。</w:t>
            </w:r>
          </w:p>
          <w:p w14:paraId="724E54A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2.现代农业产业发展工程：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做大做强“名、优、特、新”农产品品牌；发挥海大海洋经济种业产业园、新超发生猪养殖基地、冠源大安奶牛农场带动作用，发展现代养殖业；利用碣石萝卜、甘薯现代</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省级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农业产业园优势，发展都市型农业。加快推进乡村旅游田园体验综合体，发展观赏型农业和体验型农业。</w:t>
            </w:r>
          </w:p>
          <w:p w14:paraId="4A336F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3.政策创设和资金扶持：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加大对“菜篮子”工程、“一村一品”、农业产业园、农业品牌等项目的投入，增强“湾区”农业发展基础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并安排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专项资金。</w:t>
            </w:r>
          </w:p>
          <w:p w14:paraId="4B377E9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4.金融信贷支持和资金投入工程：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分别对种植面积500亩、1000亩、3000亩以上蔬菜种植基地给予补贴，用于恢复生产和扩大规模。</w:t>
            </w:r>
          </w:p>
          <w:p w14:paraId="2507D716">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5.产业主体扶持工程：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提升现有2个省级现代农业产业园和1个市级现代农业产业园发展水平。争取“十四五”时期，再建设市级以上现代农业产业园2个以上；培育20家市级以上农业龙头企业、25家市级以上农民专业合作社示范社、30家市级以上家庭农场。</w:t>
            </w:r>
          </w:p>
        </w:tc>
      </w:tr>
    </w:tbl>
    <w:p w14:paraId="4538EC0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45" w:name="_Toc20268"/>
      <w:bookmarkStart w:id="146" w:name="_Toc10716"/>
      <w:bookmarkStart w:id="147" w:name="_Toc21364"/>
      <w:r>
        <w:rPr>
          <w:rFonts w:hint="eastAsia" w:ascii="黑体" w:hAnsi="黑体" w:eastAsia="黑体" w:cs="仿宋"/>
          <w:color w:val="000000" w:themeColor="text1"/>
          <w:sz w:val="32"/>
          <w:szCs w:val="32"/>
          <w:highlight w:val="none"/>
          <w14:textFill>
            <w14:solidFill>
              <w14:schemeClr w14:val="tx1"/>
            </w14:solidFill>
          </w14:textFill>
        </w:rPr>
        <w:t>第三节 深化农村综合改革</w:t>
      </w:r>
      <w:bookmarkEnd w:id="143"/>
      <w:bookmarkEnd w:id="144"/>
      <w:bookmarkEnd w:id="145"/>
      <w:bookmarkEnd w:id="146"/>
      <w:bookmarkEnd w:id="147"/>
    </w:p>
    <w:p w14:paraId="17421D2B">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一、深化农村综合改革</w:t>
      </w:r>
    </w:p>
    <w:p w14:paraId="295DD71E">
      <w:pPr>
        <w:snapToGrid/>
        <w:spacing w:before="0" w:beforeAutospacing="0" w:after="0" w:afterAutospacing="0" w:line="600" w:lineRule="exact"/>
        <w:ind w:firstLine="640" w:firstLineChars="200"/>
        <w:jc w:val="both"/>
        <w:textAlignment w:val="baseline"/>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pP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推动</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5+2</w:t>
      </w:r>
      <w:r>
        <w:rPr>
          <w:rFonts w:hint="eastAsia" w:eastAsia="仿宋_GB2312"/>
          <w:b w:val="0"/>
          <w:i w:val="0"/>
          <w:caps w:val="0"/>
          <w:color w:val="000000" w:themeColor="text1"/>
          <w:spacing w:val="0"/>
          <w:w w:val="100"/>
          <w:sz w:val="32"/>
          <w:szCs w:val="32"/>
          <w:highlight w:val="none"/>
          <w:u w:val="none" w:color="auto"/>
          <w:lang w:bidi="ar"/>
          <w14:textFill>
            <w14:solidFill>
              <w14:schemeClr w14:val="tx1"/>
            </w14:solidFill>
          </w14:textFill>
        </w:rPr>
        <w:t>”</w:t>
      </w:r>
      <w:r>
        <w:rPr>
          <w:rFonts w:hint="eastAsia" w:eastAsia="仿宋_GB2312"/>
          <w:b w:val="0"/>
          <w:i w:val="0"/>
          <w:caps w:val="0"/>
          <w:color w:val="000000" w:themeColor="text1"/>
          <w:spacing w:val="0"/>
          <w:w w:val="100"/>
          <w:sz w:val="32"/>
          <w:szCs w:val="32"/>
          <w:highlight w:val="none"/>
          <w:u w:val="none" w:color="auto"/>
          <w:lang w:val="en-US" w:eastAsia="zh-CN" w:bidi="ar"/>
          <w14:textFill>
            <w14:solidFill>
              <w14:schemeClr w14:val="tx1"/>
            </w14:solidFill>
          </w14:textFill>
        </w:rPr>
        <w:t>农村</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综合改革</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，全面推进“新地改”“新权改”“新金改”“新户改”“新经改”</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。深化乡镇机构改革，</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巩固农村集体产权制度改革成果，做好农村</w:t>
      </w:r>
      <w:r>
        <w:rPr>
          <w:rFonts w:hint="eastAsia" w:ascii="仿宋_GB2312"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三块地</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改革文章，深入推进</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三变</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改革（</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资源变资产、资金变股金、农民变股东</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），培育壮大村级集体经济。</w:t>
      </w:r>
    </w:p>
    <w:p w14:paraId="63F6852D">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kern w:val="0"/>
          <w:sz w:val="32"/>
          <w:szCs w:val="32"/>
          <w:highlight w:val="none"/>
          <w:u w:val="none" w:color="auto"/>
          <w14:textFill>
            <w14:solidFill>
              <w14:schemeClr w14:val="tx1"/>
            </w14:solidFill>
          </w14:textFill>
        </w:rPr>
        <w:t>——坚持和完善农村基本经营制度。</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大力推进“新土改”工作，推动农村承包土地经营权有序流转，收集发布农村各类产权流转交易信息，结合打击霸占集体资产资源专项行动，全面推进不规范农村集体经济合同清理工作。制订出台</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《陆丰市推进农村承包土地经营权流转工作方案》《</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陆丰市耕地撂荒复耕工作实施方案</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，支持新型经营主体承接，全面推动农村承包土地经营权规范有序流转。加强宅基地管理，在保护非遗古村落、红色革命旧址等基础上，积极鼓励农村集体经济组织对农村旧住宅、废弃宅</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基地、空心村等闲置建设用地拆旧复垦，支持农村以合法的宅基地使用权及农房财产权入股组建农民专业合作社。到2025年，全市基本实现股份合作制改革，基本建立符合市场经济要求的集体经济运行新机制，增强集体经济发展活力。</w:t>
      </w:r>
    </w:p>
    <w:p w14:paraId="3791726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kern w:val="0"/>
          <w:sz w:val="32"/>
          <w:szCs w:val="32"/>
          <w:highlight w:val="none"/>
          <w:u w:val="none" w:color="auto"/>
          <w14:textFill>
            <w14:solidFill>
              <w14:schemeClr w14:val="tx1"/>
            </w14:solidFill>
          </w14:textFill>
        </w:rPr>
        <w:t>——着力推进“三块地”改革。</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健全城乡统一的建设用地市场，积极探索实施农村集体经营性建设用地入市制度。探索闲置农房和闲置宅基地盘活利用与乡村产业有效衔接机制，建立宅基地使用权流转市场和信息平台，赋予宅基地使用权抵押融资功能，完善宅基地使用权抵押制度；以点带面推进全市农村宅基地管理制度规范化，探索宅基地所有权、资格权、使用权分置实现形式。保障进城落户农民土地承包权、宅基地使用权、集体收益分配权，鼓励依法自愿有偿转让。深化农村金融改革，健全农村金融服务体系，为农业农村发展提供强有力的支撑。</w:t>
      </w:r>
    </w:p>
    <w:p w14:paraId="2D3DB70F">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二、推进农村集体经济高质量发展</w:t>
      </w:r>
    </w:p>
    <w:p w14:paraId="45BF7A7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创新举措促进农村承包土地经营权连片有序规范流转，解决农村承包土地细碎化和撂荒问题，推行农村土地股份合作社试点、农村承包土地经营权作价入股发展农业产业化经营试点和多模式土地托管服务，实行适度规模经营，发展乡村特色精品农业，提高耕地效益。加强示范引领和政策支持，推动农民合作社、家庭农场等新型农业经营主体高质量发展，全面提高农民合作社、家庭农场规范化水平和市场竞争力，健全农业专业化社会化服务体系，发展多种形式适度规模经营，实现小农户和现代农业有机衔接。推进扶持村级集体经济试点工作，创新高质量发展壮大农村集体经济形式，多途径增加集体经济可支配收入，努力实现村组两级集体经济总量不断扩大、发展质量不断提高。至2025年，全面消除农村集体经济薄弱村。</w:t>
      </w:r>
    </w:p>
    <w:p w14:paraId="7E005AC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48" w:name="_Toc58320412"/>
      <w:bookmarkStart w:id="149" w:name="_Toc22554"/>
      <w:bookmarkStart w:id="150" w:name="_Toc7741"/>
      <w:bookmarkStart w:id="151" w:name="_Toc22709"/>
      <w:bookmarkStart w:id="152" w:name="_Toc24825"/>
      <w:r>
        <w:rPr>
          <w:rFonts w:hint="eastAsia" w:ascii="黑体" w:hAnsi="黑体" w:eastAsia="黑体" w:cs="仿宋"/>
          <w:color w:val="000000" w:themeColor="text1"/>
          <w:sz w:val="32"/>
          <w:szCs w:val="32"/>
          <w:highlight w:val="none"/>
          <w14:textFill>
            <w14:solidFill>
              <w14:schemeClr w14:val="tx1"/>
            </w14:solidFill>
          </w14:textFill>
        </w:rPr>
        <w:t>第四节 推动城乡融合发展，补齐农村公共服务短板</w:t>
      </w:r>
      <w:bookmarkEnd w:id="148"/>
      <w:bookmarkEnd w:id="149"/>
      <w:bookmarkEnd w:id="150"/>
      <w:bookmarkEnd w:id="151"/>
      <w:bookmarkEnd w:id="152"/>
    </w:p>
    <w:p w14:paraId="711EC9CD">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——健全城乡基本公共服务均等化机制。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借助深圳罗湖区对口帮扶机制，加快补齐农村公共服务短板，推动民生事业帮扶建设。结合城乡人口分布和流动趋势，合理配置教育、医疗、公共文化等资源，补齐软基建，加快谋划建设一批医疗卫生、物资保障、农产品批发等领域项目。</w:t>
      </w:r>
    </w:p>
    <w:p w14:paraId="050A8221">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——优先发展农村教育事业。</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建立以城带乡、整体推进、城乡一体、均衡发展的义务教育发展机制，</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统筹推进基础教育、职业教育协调发展</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。全面改善薄弱学校基本办学条件，加强寄宿制学校建设，完善学前教育，推进普及高中阶段教育，加强职业教育，使绝大多数农村新增劳动力接受高中阶段教育、更多接受高等教育，重点</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陆丰市乡镇公立幼儿园补短板</w:t>
      </w:r>
      <w:r>
        <w:rPr>
          <w:rFonts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龙山中学二期</w:t>
      </w:r>
      <w:r>
        <w:rPr>
          <w:rFonts w:hint="eastAsia" w:ascii="仿宋_GB2312" w:eastAsia="仿宋_GB2312" w:cs="仿宋_GB2312"/>
          <w:b w:val="0"/>
          <w:i w:val="0"/>
          <w:caps w:val="0"/>
          <w:color w:val="000000" w:themeColor="text1"/>
          <w:spacing w:val="0"/>
          <w:w w:val="100"/>
          <w:sz w:val="32"/>
          <w:szCs w:val="32"/>
          <w:highlight w:val="none"/>
          <w:u w:val="none" w:color="auto"/>
          <w:shd w:val="clear" w:color="auto" w:fill="FFFFFF"/>
          <w:lang w:eastAsia="zh-CN" w:bidi="ar"/>
          <w14:textFill>
            <w14:solidFill>
              <w14:schemeClr w14:val="tx1"/>
            </w14:solidFill>
          </w14:textFill>
        </w:rPr>
        <w:t>二标</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、市职业技术学校、市第二职业技术学校、</w:t>
      </w:r>
      <w:r>
        <w:rPr>
          <w:rFonts w:hint="eastAsia"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市林启恩纪念中学现代化综合大楼及学校配套设施提质升级工程</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等项目建设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统筹配置城乡师资，建立教师长效补充机制，实行中小学校教师“</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管校聘”、</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内校长教师交流轮岗，实现优质教育资源城乡共享，推行“校车进村”。通过信息化手段推动教育改革，提升教师水平，促进教学质量提高。</w:t>
      </w:r>
    </w:p>
    <w:p w14:paraId="3874A7C6">
      <w:pPr>
        <w:pStyle w:val="10"/>
        <w:snapToGrid/>
        <w:spacing w:before="0" w:beforeAutospacing="0" w:after="120" w:afterAutospacing="0" w:line="240" w:lineRule="auto"/>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——提升农村医疗卫生服务水平。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开展“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医联动”改革，积极推进全市医联体建设，加快改善乡镇卫生院和村卫生站医疗设施条件，突出抓好市中医医院、市疾病预防控制中心、市人民医院传染病区、市第四人民医院（陆丰市精神病院）、市人民医院颐养园附属医院</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医疗卫生整体配套提升项目等医疗建设项目。全面建立分级诊疗制度，实行差别化医保支付政策。推动基层医务人员职称评定和工资待遇与基层服务贡献挂钩。完善城乡居民基本医疗保险、大病保险和基本养老保险制度，做好医疗救助工作。</w:t>
      </w:r>
    </w:p>
    <w:p w14:paraId="5AF2FBF8">
      <w:pPr>
        <w:pStyle w:val="10"/>
        <w:snapToGrid/>
        <w:spacing w:before="0" w:beforeAutospacing="0" w:after="0" w:afterAutospacing="0" w:line="240" w:lineRule="auto"/>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——健全农村留守儿童和妇女、老年人关爱服务体系。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就业创业指导，提升农村留守妇女就业创业能力，为农村留守妇女创业发展搭建平台、提供服务，提供更多就业岗位，实现农村留守妇女就近就地就业。加强精神关爱，加强基层公共体育设施和场所建设，积极开展适宜儿童、妇女及老年人的文化体育活动，丰富精神文化生活。加强权益维护，保障妇女儿童和老年人合法权益，深入开展维权宣传教育，加大对他们的法律知识普及和法律援助。加强养老服务，重点推进陆丰市颐养园项目建设，加强农村社会福利服务中心建设和改造，力争有条件镇（场、区）至少建有一家居家养老服务机构，并逐年提高村（社区）养老服务设施覆盖率。全面实施特困人员救助供养制度，健全最低生活保障标准和特困人员供养标准动态调整机制，分年度分步骤实施特困人员供养服务设施（敬老院）改造提升工程。</w:t>
      </w:r>
    </w:p>
    <w:p w14:paraId="4A65C09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——加快农业转移人口市民化。</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eastAsia="zh-CN"/>
          <w14:textFill>
            <w14:solidFill>
              <w14:schemeClr w14:val="tx1"/>
            </w14:solidFill>
          </w14:textFill>
        </w:rPr>
        <w:t>全面</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改革扩大开放,全面放开户口迁移政策,持续推进户籍制度改革,统筹推进城乡一体融合发展，建立健全有利于城乡要素合理配置的体制机制，加快农业转移人口市民化。加大户籍制度改革力度，进一步简化落户手续，全面放宽落户条件，推进居住证制度全覆盖，保障居住证附加的公共服务和便利项目，实现居住证持有者在公共服务上与城镇居民同等待遇。统筹基本公共服务资金向吸纳农业转移人口较多地区倾斜，加快实现常住人口基本公共服务全覆盖。在安排城镇新增建设用地指标时，充分考虑农业转移人口落户数量和常住人口变化权重。</w:t>
      </w:r>
    </w:p>
    <w:p w14:paraId="7A800B7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53" w:name="_Toc19731"/>
      <w:bookmarkStart w:id="154" w:name="_Toc21790"/>
      <w:bookmarkStart w:id="155" w:name="_Toc16838"/>
      <w:r>
        <w:rPr>
          <w:rFonts w:hint="eastAsia" w:ascii="黑体" w:hAnsi="黑体" w:eastAsia="黑体" w:cs="仿宋"/>
          <w:color w:val="000000" w:themeColor="text1"/>
          <w:sz w:val="32"/>
          <w:szCs w:val="32"/>
          <w:highlight w:val="none"/>
          <w14:textFill>
            <w14:solidFill>
              <w14:schemeClr w14:val="tx1"/>
            </w14:solidFill>
          </w14:textFill>
        </w:rPr>
        <w:t>第五节 打造都市型现代精品农业</w:t>
      </w:r>
      <w:bookmarkEnd w:id="153"/>
      <w:bookmarkEnd w:id="154"/>
      <w:bookmarkEnd w:id="155"/>
    </w:p>
    <w:p w14:paraId="5BE4A319">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一、培育汕尾特色现代农业产业体系</w:t>
      </w:r>
    </w:p>
    <w:p w14:paraId="1C98EF62">
      <w:pPr>
        <w:snapToGrid/>
        <w:spacing w:before="0" w:beforeAutospacing="0" w:after="0" w:afterAutospacing="0" w:line="600" w:lineRule="exact"/>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——坚持最严格的耕地保护制度。</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突出特色优势主导产业，进一步调整优化农业生产结构和区域布局，培育现代农业产业体系。深入实施藏粮于地、藏粮于技战略，加大农业水利设施建设力度。加强市域粮食生产功能区和特色农产品优势区建设实施高标准农田建设，强化农业科技和装备支撑，提高农业良种化水平，健全动物防疫和农作物病虫害防治体系，建设智慧农业。</w:t>
      </w:r>
    </w:p>
    <w:p w14:paraId="7D0CA9D7">
      <w:pPr>
        <w:snapToGrid/>
        <w:spacing w:before="0" w:beforeAutospacing="0" w:after="0" w:afterAutospacing="0" w:line="600" w:lineRule="exact"/>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——提升农业产业化水平。</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进一步加大招商引资工作力度，引进农业龙头企业，通过企业带动，将陂洋菠萝，</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荔枝</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 xml:space="preserve">等当地特色产业做大做强，培养建设无公害农产品基地，打造现代农业产业园，实现农业生产规模化、区域化和专业化。  </w:t>
      </w:r>
    </w:p>
    <w:tbl>
      <w:tblPr>
        <w:tblStyle w:val="26"/>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3"/>
      </w:tblGrid>
      <w:tr w14:paraId="6D0A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3" w:type="dxa"/>
          </w:tcPr>
          <w:p w14:paraId="32FBE862">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专栏8-2：打造市域“五大特色农业功能区”</w:t>
            </w:r>
          </w:p>
        </w:tc>
      </w:tr>
      <w:tr w14:paraId="784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3" w:type="dxa"/>
          </w:tcPr>
          <w:p w14:paraId="726310C0">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1.北部优质水果生产区：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陂洋镇、八万镇、大安镇、大安林场和西南镇为主体，以菠萝种植示范基地为基础，在北部山区形成水果种植区。</w:t>
            </w:r>
          </w:p>
          <w:p w14:paraId="6121D23F">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2.中部特色精品农产品区：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以南塘镇北部、铜锣湖农场和内湖镇为主体，以优质花生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标准化生产示范基地为基础，打造特色精品农产品区。</w:t>
            </w:r>
          </w:p>
          <w:p w14:paraId="7E35418B">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3.中部农业科技示范区：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博美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镇、城东镇、河东镇等为主体、以萝卜标准化种植示范基地为基础，形成农业科技示范区。</w:t>
            </w:r>
          </w:p>
          <w:p w14:paraId="04CBEF5B">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4.东南及西部现代粮食产业区：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以潭西镇、上英镇等为主体，打造高标准水稻生产示范基地、番薯生产示范基地。</w:t>
            </w:r>
          </w:p>
          <w:p w14:paraId="4045238C">
            <w:pPr>
              <w:snapToGrid w:val="0"/>
              <w:spacing w:before="0" w:beforeAutospacing="0" w:after="0" w:afterAutospacing="0" w:line="400" w:lineRule="exact"/>
              <w:ind w:firstLine="562" w:firstLineChars="200"/>
              <w:jc w:val="left"/>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5.东南、西部现代粮食产业区：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主要在三甲地区、南塘镇及湖东镇，形成淮山种植基地和蔬菜种植基地。</w:t>
            </w:r>
          </w:p>
        </w:tc>
      </w:tr>
    </w:tbl>
    <w:p w14:paraId="63F816C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——大力发展现代种业。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度重视种子作为农业“芯片”的战略地位，全力支持种业市场化、产业化发展，加强科技创新和技术攻关，进一步引导金融资本、社会资本投资现代种业，强化关键环节、关键领域、关键品种保障能力，提升种业产业链现代化水平。培育有核心竞争力的产业主体，着力打造航母型领军企业、特色优势企业、专业化平台企业等，支持企业发挥竞争优势和强大作用，建设五指毛桃、冬种马铃薯、水稻、玉米、甘薯、萝卜等具有陆丰特色的现代种子、种苗基地，保障粮食安全，推动现代种业发展。补齐种业产业链短板，加大对重要育种材料、关键仪器、核心技术软件、检验检测平台等领域的投入力度，持续加大种业研发创新、加强生物育种技术应用和加快优质品种商业化推广进程，重点推进陆丰省级工程技术研究中心以及农产品检测实验室建设，依托龙头公司栽培及植物保护技术优势、蚕沙改土陆丰工程、萝卜甘薯良种繁育基地、农残检测中心、商品化预包装保鲜处理，构成农产品从种子到消费者手中全程的技术支持；加快建成甘薯脱毒种苗研究中心，大力发展适合当地自产自销的脱毒种苗，推动现代种业数字化、网络化、智能化、绿色化发展。</w:t>
      </w:r>
    </w:p>
    <w:p w14:paraId="114D3111">
      <w:pPr>
        <w:pStyle w:val="6"/>
        <w:snapToGrid/>
        <w:spacing w:before="0" w:beforeAutospacing="0" w:after="0" w:afterAutospacing="0" w:line="600" w:lineRule="exact"/>
        <w:ind w:firstLine="643" w:firstLineChars="200"/>
        <w:jc w:val="both"/>
        <w:textAlignment w:val="baseline"/>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——结合特色文化资源，发展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观光体验型农业</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及</w:t>
      </w: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乡村旅游。</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充分发挥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优质山海特色优势，依托已有的农业景观资源和农业生产条件，探索发展农业生产体验、乡村旅游、休闲观光农业、森林康养、文化创意和田园综合体等集观光、休闲和旅游为一体的新型农业生产经营形态。</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挖掘整合红色资源，打造红色旅游精品线路和沿海靓丽景点，完善金厢湾、碣石湾、陂洋芹洋等地旅游基础设施建设，打造滨海旅游示范点，推动农旅结合、休闲观光等景点建设，串珠成链，形成“点、线、面”美丽经济带，辐射带动全市农村产业提质增效发展。打造集聚特色产业的创新创业生态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点打造植物龙生态农业科技园-桥头村-湖坑村-角洋村现代农业示范段，布局生产体验、观光采摘、农业嘉年华、亲子互动等农业与休闲相融合的现代服务业，培育发展一批兼具生产观光、农事体验、教育科普、娱乐休闲、度假养生等功能的休闲农业综合体。开发建设城东特色观光农业基地（高美茶、竹笋等）项目，打造粤东特色农业观光体验基地。以农业生产和农业休闲为核心产业，构建包含支持产业、配套产业和衍生产业的综合产业链，发展支持农产品研发、加工、推介和促销企业，配套餐饮、酒吧、星级酒店，衍生发展特色农产品与文化创意相结合的产业集群，打造强大的陆丰现代都市休闲农业产业典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2021年创建2-3个</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农业创新创业孵化基地典型项目，打造碣石万亩产业数字农业基地，形成示范带动效应。充分考虑乡村新产业新业态用地需求，实施点状供地和“农业+”混合供地。</w:t>
      </w:r>
    </w:p>
    <w:p w14:paraId="2E42F14F">
      <w:pPr>
        <w:pStyle w:val="6"/>
        <w:snapToGrid/>
        <w:spacing w:before="0" w:beforeAutospacing="0" w:after="0" w:afterAutospacing="0" w:line="600" w:lineRule="exact"/>
        <w:ind w:firstLine="640" w:firstLineChars="200"/>
        <w:jc w:val="both"/>
        <w:textAlignment w:val="baseline"/>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94A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68C308FC">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专栏8-3 “十四五”时期田园综合体重点项目</w:t>
            </w:r>
          </w:p>
        </w:tc>
      </w:tr>
      <w:tr w14:paraId="31FB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52CBE91">
            <w:pPr>
              <w:snapToGrid/>
              <w:spacing w:before="0" w:beforeAutospacing="0" w:after="0" w:afterAutospacing="0" w:line="5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1.陂洋镇田园综合体：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采用(村民+农业专业合作社+企业)村民参与，企业投资，合作共赢的经营模式。全力打造乡村观光旅游，农业科普教育，科技农业，推动乡情文化传播，展示民俗传统文化，集约节约建设用地，集中安置村民居住，改善村民居住环境。</w:t>
            </w:r>
          </w:p>
          <w:p w14:paraId="57E21601">
            <w:pPr>
              <w:snapToGrid/>
              <w:spacing w:before="0" w:beforeAutospacing="0" w:after="0" w:afterAutospacing="0" w:line="5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2.河西镇田园综合体：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通过引进企业实施规模种植等方式，对湖口、汾河、香校、竹林、卧龙等村撂荒地进行流转，以“一镇一业”，打造特色农业。</w:t>
            </w:r>
          </w:p>
          <w:p w14:paraId="01151913">
            <w:pPr>
              <w:snapToGrid/>
              <w:spacing w:before="0" w:beforeAutospacing="0" w:after="0" w:afterAutospacing="0" w:line="5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3.上英镇田园综合体：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笏底、钱广等村积极探索开设：草莓园、蔬菜园、民宿等，吸引过客、 城市人群消费下乡，浮头村用活用足老区政策，计划以红色教育+游玩乐园为建设主题，推进田园综合体建设。</w:t>
            </w:r>
          </w:p>
        </w:tc>
      </w:tr>
    </w:tbl>
    <w:p w14:paraId="7A478D39">
      <w:pPr>
        <w:pStyle w:val="2"/>
        <w:snapToGrid/>
        <w:spacing w:before="0" w:beforeAutospacing="0" w:after="0" w:afterAutospacing="0" w:line="240" w:lineRule="auto"/>
        <w:ind w:firstLine="0" w:firstLineChars="0"/>
        <w:jc w:val="both"/>
        <w:textAlignment w:val="baseline"/>
        <w:rPr>
          <w:rFonts w:ascii="Calibri" w:hAnsi="Calibri"/>
          <w:b w:val="0"/>
          <w:i w:val="0"/>
          <w:caps w:val="0"/>
          <w:color w:val="000000" w:themeColor="text1"/>
          <w:spacing w:val="0"/>
          <w:w w:val="100"/>
          <w:sz w:val="21"/>
          <w:highlight w:val="none"/>
          <w:u w:val="none" w:color="auto"/>
          <w14:textFill>
            <w14:solidFill>
              <w14:schemeClr w14:val="tx1"/>
            </w14:solidFill>
          </w14:textFill>
        </w:rPr>
      </w:pPr>
    </w:p>
    <w:p w14:paraId="5D91A1B9">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二、大力培育农业新型经营主体，构建利益联结机制</w:t>
      </w:r>
    </w:p>
    <w:p w14:paraId="14E0889E">
      <w:pPr>
        <w:snapToGrid/>
        <w:spacing w:before="0" w:beforeAutospacing="0" w:after="0" w:afterAutospacing="0" w:line="360" w:lineRule="auto"/>
        <w:ind w:firstLine="640"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培育各类新型经营主体，拓展农民增收空间。动员大学生、复退军人、农民工等返乡创办新型农业经营主体。强化政策激励，大力引进和培育农业龙头企业、农民专业合作社和家庭农场等新型经营主体，</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通过</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土地流转发展规模经营，</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并积极</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推进农业产业化发展。积极推动“龙头企业+合作社+农户”“龙头企业+基地+农户”等多种经营模式，完善新型经营主体与小农户的利益联结机制，解决好小生产与大市场之间的矛盾，拓宽农产品销售渠道，提高种养效益。</w:t>
      </w:r>
    </w:p>
    <w:p w14:paraId="3F39F23F">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三、全力创建现代农业产业园，强化重大平台建设</w:t>
      </w:r>
    </w:p>
    <w:p w14:paraId="77539806">
      <w:pPr>
        <w:snapToGrid/>
        <w:spacing w:before="0" w:beforeAutospacing="0" w:after="0" w:afterAutospacing="0" w:line="360" w:lineRule="auto"/>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——着力提升全市2个省级现代农业产业园发展水平。</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以全产业链为重点，推进萝卜和甘薯省级现代农业产业园建设。新增</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2个以上省级现代农业产业园（含优势产区和特色产业园），6</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个市级现代农业产业园，基本形成大米、甘薯、水产、萝卜、蔬菜、黄牛、岭南特色水果等一批具有区域显著优势的现代农业产业园。全力创国家级省级产业园。</w:t>
      </w:r>
    </w:p>
    <w:p w14:paraId="53F6A422">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现代化农业产业园生产配套设施，建设原料生产基地、物流配送、产品展示、市场营销体系，形成全产业链条的联动发展。加强园区信息化建设，利用互联网、大数据、人工智能等数字信息技术搭建全市农业产业园网络平台，提升信息公开与网上服务能力，促进各产业园区协调发展，连接生产与销售两大环节，扩大招商引资范围，推动传统农业实现区域化布局、专业化生产、一体化经营、企业化管理、社会化服务和市场化竞争的现代化发展。</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662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7A67E0F">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专栏8-4 “十四五”时期现代农业产业园布局</w:t>
            </w:r>
          </w:p>
        </w:tc>
      </w:tr>
      <w:tr w14:paraId="04C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6D2BE1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1.甘薯现代农业产业园：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种植品质甘薯，打造“一核、一基地”的规划布局，即核心区和甘薯生产基地，在开发优势甘薯脱毒种苗的同时致力于开发甘薯下游产业，推动传统农业向生态全产业链农业升级，推进申报国家级现代农业产业园。</w:t>
            </w:r>
          </w:p>
          <w:p w14:paraId="342C3BC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2.萝卜现代农业产业园：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主要种植品质萝卜，推进申报国家级现代农业产业园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p w14:paraId="2F8536DA">
            <w:pPr>
              <w:pStyle w:val="14"/>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3.甲东镇生态农业产业园区：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在联湖村、前边村、后洋村、东林村等东片辖区一带打造生态农业产业园区，引进农业产业公司和农业股份合作公司，改革农业产业经营模式，建设各类农产品加工厂，打造农产品产供销一条龙生产基地。</w:t>
            </w:r>
          </w:p>
        </w:tc>
      </w:tr>
    </w:tbl>
    <w:p w14:paraId="6FFD22D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——建设一批标准化种</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植</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养殖）示</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范基地。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以基地化方式建设陆丰优势特色农业引领区，着力打造水稻、蔬果、水产、畜牧四大农业基地。依托涉农龙头企业、专业合作社等实施主体，建设一批标准化种植示范基地，推进城东镇现代化商品猪养殖产业基地、河西番薯种植基地、湖东蔬菜种植基地、城东万亩水产科技养殖基地（海鲈鱼）、黄牛现代化养殖基地、吉水白江牛大力中药材种植示范点等特色产品基地项目建设，培育和引进良种引进和改良繁育基地、良种改良及标准农业实验室、建设智能玻璃培育棚、购置标准农业生产技术研究室配套仪器等设备，建设科研机构及产品研发中心，聘请专家团队进驻，将农业基地打造为技术先进、现代设施装备配套加速应用的集成区。 </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4E8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AF9DF11">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专栏8-5 “十四五”时期农业基地布局</w:t>
            </w:r>
          </w:p>
        </w:tc>
      </w:tr>
      <w:tr w14:paraId="74FD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B4415A1">
            <w:pPr>
              <w:pStyle w:val="14"/>
              <w:snapToGrid/>
              <w:spacing w:before="0" w:beforeAutospacing="0" w:after="0" w:afterAutospacing="0" w:line="400" w:lineRule="exact"/>
              <w:ind w:left="0" w:leftChars="0"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陆丰海洋经济种业产业园</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主要建设石斑鱼、金鲳鱼和国家级南美白对虾育种育苗基地及配套设施。</w:t>
            </w:r>
          </w:p>
          <w:p w14:paraId="51FAFCEE">
            <w:pPr>
              <w:pStyle w:val="14"/>
              <w:keepLines w:val="0"/>
              <w:snapToGrid/>
              <w:spacing w:before="0" w:beforeAutospacing="0" w:after="0" w:afterAutospacing="0" w:line="400" w:lineRule="exact"/>
              <w:ind w:left="0" w:leftChars="0" w:firstLine="562" w:firstLineChars="200"/>
              <w:jc w:val="both"/>
              <w:textAlignment w:val="baseline"/>
              <w:rPr>
                <w:rFonts w:hint="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.万亩（海鲈）水产科技养殖产业基地：</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合理利用和开发低值咸塭鱼塘，集成水产健康养殖新技术，新模式，逐步形成“种苗培育+水体养殖+车间加工+冷链运输+科技创新”的产业链，探索高产、优质、低耗、高效、环保、生态的健康养殖之路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tc>
      </w:tr>
    </w:tbl>
    <w:p w14:paraId="28C406E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——发展品牌型农业。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市场化模式打造陆丰优质农产品品牌。加快形成“一村一品”“一镇一业”“一县多园”特色农业发展格局，加大对“陆字号”农产品品牌宣传力度，优化品牌发展布局，突出地方资源、品质和功能特色。建立以涉农龙头企业为核心的产业化经营机制，加强对企业、农业合作组织、行业协会等品牌创建主体的培育，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现有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龙头企业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为带动，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扶持和引进一批具有较强开发、加工及市场拓展能力的重点企业，引导企业积极引进国内外先进技术、工艺、设备和管理经验，提升农业企业的技术水平、管理水平和质量水平，做大做强大安蒜头、博美萝卜、陂洋菠萝、高美甜笋茶叶、甲东紫菜、甲西博社麒麟西瓜、乌石芝麻、上英广薯、潭西赤米、南塘花生、八万牛大力等各镇“名、优、特、新”农产品品牌。健全品牌服务体系，引导企业、合作组织、行业协会与农户建立稳定的产销关系，加强与销售平台合作，创新“直播+产业+电商”等模式，完善农产品营销服务网络，实现区域品牌、企业品牌、产品品牌融合。鼓励和支持涉农企业创建自身品牌，建立品牌建设与保护机制，打造以品牌价值为核心的新型农业。</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1B9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296" w:type="dxa"/>
          </w:tcPr>
          <w:p w14:paraId="4C04CEED">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专栏8-6 陆丰特色农产品品牌</w:t>
            </w:r>
          </w:p>
        </w:tc>
      </w:tr>
      <w:tr w14:paraId="5A00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8296" w:type="dxa"/>
          </w:tcPr>
          <w:p w14:paraId="254DD2B2">
            <w:pPr>
              <w:snapToGrid/>
              <w:spacing w:before="0" w:beforeAutospacing="0" w:after="0" w:afterAutospacing="0" w:line="400" w:lineRule="exact"/>
              <w:ind w:firstLine="560" w:firstLineChars="200"/>
              <w:jc w:val="both"/>
              <w:textAlignment w:val="baseline"/>
              <w:rPr>
                <w:rFonts w:hint="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大安蒜头</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陂洋菠萝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油柑</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龙眼</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城东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高美茶</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甜笋</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甲东紫菜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甲西</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博社麒麟西瓜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上英水稻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西洋南瓜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河西茶叶</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红薯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博美花生</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南塘冬种马铃薯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花生</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萝卜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内湖水稻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玉米</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番薯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菠萝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上英腌鸭蛋</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西南红花</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吊梨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tc>
      </w:tr>
    </w:tbl>
    <w:p w14:paraId="51176BBD">
      <w:pPr>
        <w:adjustRightInd w:val="0"/>
        <w:snapToGrid w:val="0"/>
        <w:spacing w:line="200" w:lineRule="exact"/>
        <w:jc w:val="both"/>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156" w:name="_Toc19870"/>
      <w:bookmarkStart w:id="157" w:name="_Toc19530"/>
      <w:bookmarkStart w:id="158" w:name="_Toc24002"/>
    </w:p>
    <w:p w14:paraId="1B1630D2">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59" w:name="_Toc20155"/>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第九章 统筹推进区域协调发展</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，提升城市发展能级</w:t>
      </w:r>
      <w:bookmarkEnd w:id="156"/>
      <w:bookmarkEnd w:id="157"/>
      <w:bookmarkEnd w:id="158"/>
      <w:bookmarkEnd w:id="159"/>
    </w:p>
    <w:p w14:paraId="3CF5B6B9">
      <w:pPr>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根据全省“一核一带一区”功能布局和</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西接“双区”东承“汕潮揭”都市圈区域新优势，优化布局</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形成“一核两区两带一廊”发展新格局。根据各镇主体功能实行差异化发展，推动县域高质量发展。提升中心城区发展能级，推动沿螺河形成“一河两岸”格局，提升中心城区首位度。推动碣石镇打造市域副中心，推动三甲地区协同一体化发展。</w:t>
      </w:r>
    </w:p>
    <w:p w14:paraId="2C1510E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0" w:name="_Toc31729"/>
      <w:bookmarkStart w:id="161" w:name="_Toc19438"/>
      <w:bookmarkStart w:id="162" w:name="_Toc16679"/>
      <w:bookmarkStart w:id="163" w:name="_Toc30586"/>
      <w:r>
        <w:rPr>
          <w:rFonts w:hint="eastAsia" w:ascii="黑体" w:hAnsi="黑体" w:eastAsia="黑体" w:cs="仿宋"/>
          <w:color w:val="000000" w:themeColor="text1"/>
          <w:sz w:val="32"/>
          <w:szCs w:val="32"/>
          <w:highlight w:val="none"/>
          <w14:textFill>
            <w14:solidFill>
              <w14:schemeClr w14:val="tx1"/>
            </w14:solidFill>
          </w14:textFill>
        </w:rPr>
        <w:t>第一节 构建“一核两区两带一廊”市域发展格局</w:t>
      </w:r>
      <w:bookmarkEnd w:id="160"/>
      <w:bookmarkEnd w:id="161"/>
      <w:bookmarkEnd w:id="162"/>
      <w:bookmarkEnd w:id="163"/>
    </w:p>
    <w:p w14:paraId="0B4B290D">
      <w:pPr>
        <w:snapToGrid/>
        <w:spacing w:before="0" w:beforeAutospacing="0" w:after="0" w:afterAutospacing="0" w:line="600" w:lineRule="exact"/>
        <w:ind w:firstLine="640"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全面对标对表国家和省、汕尾市规划，科学划定生态保护红线、永久基本农田、城镇开发边界等空间管控边界，逐步形成城市化地区、农产品主产区、生态功能区三大空间，优化重大基础设施、重大生产力和公共资源布局，形成高质量发展的国土空间开发保护新格局。结合陆丰市域城镇空间分布特征、地方资源条件以及城镇空间发展的趋势要求，推动形成“一核两区两带一廊”的发展格局。 </w:t>
      </w:r>
    </w:p>
    <w:p w14:paraId="17592A46">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一核</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引领</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陆丰市中心城区，主要包括东海、城东和河西及河东、金厢部分地区，打造全市的政治、经济和文化中心，同时也是</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交通、信息、技术和物流转运中心，依托于较为发达便捷的区域交通条件，形成聚合全市发展资源优势的城市发展极核，并发展成为汕尾市具备较强影响辐射力的副中心城市之一。 </w:t>
      </w:r>
    </w:p>
    <w:p w14:paraId="77E75C30">
      <w:pPr>
        <w:snapToGrid/>
        <w:spacing w:before="0" w:beforeAutospacing="0" w:after="0" w:afterAutospacing="0" w:line="59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两区</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优化</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包括南部滨海城镇发展区和北部生态维育与乡村振兴区。南部滨海城镇发展区自西向东涵盖核心发展组团、星都经济产业园、南塘-博美组团、碣石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三甲组团及周边镇街，以沿海高速公路的连通为基础依托，结合现有的城镇发展的规模基础和特色优势，形成具有地方资源特色、产业发展优势和未来战略提升的城镇密集发展区域。北部生态维育与乡村振兴区，包括西南镇、红岭林场、大安镇、大安农场、畜牧果林场、八万镇、罗经嶂林场、陂洋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以</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现代农业及生态旅游业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为主导功能</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，促进农业生产效能提升，生态环境保育和水源保护。 </w:t>
      </w:r>
    </w:p>
    <w:p w14:paraId="65DB0D7C">
      <w:pPr>
        <w:snapToGrid/>
        <w:spacing w:before="0" w:beforeAutospacing="0" w:after="0" w:afterAutospacing="0" w:line="59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两带一廊</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包括沿海经济发展带、广惠汕发展带和汕梅发展走廊。</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广惠汕发展带，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以现有的深汕高速公路、324国道、厦深铁路以及未来建成通车的汕尾至汕头铁路为重要依托，形成陆丰市域范围内核心城镇生长与空间聚合轴。依托地区发展最为重要的区域交通走廊，引导和促进区域经济要素的流通和空间集聚。</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沿海经济发展带，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结合滨海景观大道，沿岸形成陆丰市多个经济增长点，包括两大以工业、港口发展为核心的城镇组团（碣石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湖东组团、三甲组团），积极培育滨水产业，打造蓝色经济，实现陆海联动，构筑陆丰市“黄金海岸”特色景观风貌与产业经济发展轴。</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汕梅发展走廊，</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以重要交通干线</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S240</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为依托，串联中心城区与北部西南及大安等重要城镇，并进一步向北延伸</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陆河，促进北部生态经济发展，凸显依山傍海的特色城镇风貌。 </w:t>
      </w:r>
    </w:p>
    <w:p w14:paraId="24F25B46">
      <w:pPr>
        <w:pStyle w:val="10"/>
        <w:snapToGrid/>
        <w:spacing w:before="0" w:beforeAutospacing="0" w:after="120" w:afterAutospacing="0" w:line="240" w:lineRule="auto"/>
        <w:jc w:val="center"/>
        <w:textAlignment w:val="baseline"/>
        <w:rPr>
          <w:rFonts w:hint="eastAsia" w:ascii="Times New Roman" w:hAnsi="Times New Roman" w:eastAsia="宋体" w:cs="Times New Roman"/>
          <w:b w:val="0"/>
          <w:i w:val="0"/>
          <w:caps w:val="0"/>
          <w:color w:val="000000" w:themeColor="text1"/>
          <w:spacing w:val="0"/>
          <w:w w:val="100"/>
          <w:sz w:val="21"/>
          <w:highlight w:val="none"/>
          <w:u w:val="none" w:color="auto"/>
          <w:lang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w w:val="100"/>
          <w:sz w:val="21"/>
          <w:highlight w:val="none"/>
          <w:u w:val="none" w:color="auto"/>
          <w:lang w:eastAsia="zh-CN"/>
          <w14:textFill>
            <w14:solidFill>
              <w14:schemeClr w14:val="tx1"/>
            </w14:solidFill>
          </w14:textFill>
        </w:rPr>
        <w:drawing>
          <wp:inline distT="0" distB="0" distL="114300" distR="114300">
            <wp:extent cx="5158105" cy="3029585"/>
            <wp:effectExtent l="0" t="0" r="4445" b="18415"/>
            <wp:docPr id="1" name="图片 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A"/>
                    <pic:cNvPicPr>
                      <a:picLocks noChangeAspect="1"/>
                    </pic:cNvPicPr>
                  </pic:nvPicPr>
                  <pic:blipFill>
                    <a:blip r:embed="rId13"/>
                    <a:stretch>
                      <a:fillRect/>
                    </a:stretch>
                  </pic:blipFill>
                  <pic:spPr>
                    <a:xfrm>
                      <a:off x="0" y="0"/>
                      <a:ext cx="5158105" cy="3029585"/>
                    </a:xfrm>
                    <a:prstGeom prst="rect">
                      <a:avLst/>
                    </a:prstGeom>
                  </pic:spPr>
                </pic:pic>
              </a:graphicData>
            </a:graphic>
          </wp:inline>
        </w:drawing>
      </w:r>
    </w:p>
    <w:p w14:paraId="427BEC54">
      <w:pPr>
        <w:pStyle w:val="7"/>
        <w:snapToGrid/>
        <w:spacing w:before="0" w:beforeAutospacing="0" w:after="0" w:afterAutospacing="0" w:line="240" w:lineRule="auto"/>
        <w:jc w:val="center"/>
        <w:textAlignment w:val="baseline"/>
        <w:rPr>
          <w:rFonts w:hint="eastAsia"/>
          <w:b w:val="0"/>
          <w:i w:val="0"/>
          <w:caps w:val="0"/>
          <w:color w:val="000000" w:themeColor="text1"/>
          <w:spacing w:val="0"/>
          <w:w w:val="100"/>
          <w:sz w:val="24"/>
          <w:szCs w:val="36"/>
          <w:highlight w:val="none"/>
          <w:u w:val="none" w:color="auto"/>
          <w14:textFill>
            <w14:solidFill>
              <w14:schemeClr w14:val="tx1"/>
            </w14:solidFill>
          </w14:textFill>
        </w:rPr>
      </w:pP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图</w:t>
      </w:r>
      <w:r>
        <w:rPr>
          <w:rFonts w:hint="eastAsia"/>
          <w:b w:val="0"/>
          <w:i w:val="0"/>
          <w:caps w:val="0"/>
          <w:color w:val="000000" w:themeColor="text1"/>
          <w:spacing w:val="0"/>
          <w:w w:val="100"/>
          <w:sz w:val="24"/>
          <w:szCs w:val="36"/>
          <w:highlight w:val="none"/>
          <w:u w:val="none" w:color="auto"/>
          <w14:textFill>
            <w14:solidFill>
              <w14:schemeClr w14:val="tx1"/>
            </w14:solidFill>
          </w14:textFill>
        </w:rPr>
        <w:t>9</w:t>
      </w: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w:t>
      </w:r>
      <w:r>
        <w:rPr>
          <w:b w:val="0"/>
          <w:i w:val="0"/>
          <w:caps w:val="0"/>
          <w:color w:val="000000" w:themeColor="text1"/>
          <w:spacing w:val="0"/>
          <w:w w:val="100"/>
          <w:sz w:val="20"/>
          <w:szCs w:val="36"/>
          <w:highlight w:val="none"/>
          <w:u w:val="none" w:color="auto"/>
          <w14:textFill>
            <w14:solidFill>
              <w14:schemeClr w14:val="tx1"/>
            </w14:solidFill>
          </w14:textFill>
        </w:rPr>
        <w:fldChar w:fldCharType="begin"/>
      </w:r>
      <w:r>
        <w:rPr>
          <w:b w:val="0"/>
          <w:i w:val="0"/>
          <w:caps w:val="0"/>
          <w:color w:val="000000" w:themeColor="text1"/>
          <w:spacing w:val="0"/>
          <w:w w:val="100"/>
          <w:sz w:val="20"/>
          <w:szCs w:val="36"/>
          <w:highlight w:val="none"/>
          <w:u w:val="none" w:color="auto"/>
          <w14:textFill>
            <w14:solidFill>
              <w14:schemeClr w14:val="tx1"/>
            </w14:solidFill>
          </w14:textFill>
        </w:rPr>
        <w:instrText xml:space="preserve"> SEQ 图7- \* ARABIC </w:instrText>
      </w:r>
      <w:r>
        <w:rPr>
          <w:b w:val="0"/>
          <w:i w:val="0"/>
          <w:caps w:val="0"/>
          <w:color w:val="000000" w:themeColor="text1"/>
          <w:spacing w:val="0"/>
          <w:w w:val="100"/>
          <w:sz w:val="20"/>
          <w:szCs w:val="36"/>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1</w:t>
      </w:r>
      <w:r>
        <w:rPr>
          <w:b w:val="0"/>
          <w:i w:val="0"/>
          <w:caps w:val="0"/>
          <w:color w:val="000000" w:themeColor="text1"/>
          <w:spacing w:val="0"/>
          <w:w w:val="100"/>
          <w:sz w:val="20"/>
          <w:szCs w:val="36"/>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szCs w:val="36"/>
          <w:highlight w:val="none"/>
          <w:u w:val="none" w:color="auto"/>
          <w14:textFill>
            <w14:solidFill>
              <w14:schemeClr w14:val="tx1"/>
            </w14:solidFill>
          </w14:textFill>
        </w:rPr>
        <w:t xml:space="preserve"> 市域“一核两区两带一廊”总体布局</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9BE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CFA4AC1">
            <w:pPr>
              <w:pStyle w:val="14"/>
              <w:snapToGrid/>
              <w:spacing w:before="0" w:beforeAutospacing="0" w:after="0" w:afterAutospacing="0" w:line="400" w:lineRule="exact"/>
              <w:ind w:left="0" w:leftChars="0"/>
              <w:jc w:val="center"/>
              <w:textAlignment w:val="baseline"/>
              <w:rPr>
                <w:rFonts w:ascii="宋体" w:hAnsi="宋体" w:eastAsia="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9-1</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市域“一核两区两带一廊”发展布局</w:t>
            </w:r>
          </w:p>
        </w:tc>
      </w:tr>
      <w:tr w14:paraId="5407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D0FF4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1.一核：</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陆丰市中心城区，主要包括东海、城东和河西及河东、金厢部分地区，打造全市的政治、经济和文化中心，</w:t>
            </w:r>
          </w:p>
          <w:p w14:paraId="16EC3C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2.两区：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大致以324国道为界，北部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各</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镇以生态和农业为主要功能，共建北部生态经济区。324国道以南主要为工业、商贸、物流、滨海旅游等产业功能，共建南部沿海城镇密集区。</w:t>
            </w:r>
          </w:p>
          <w:p w14:paraId="4DA06B7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北部生态维育与乡村振兴区：</w:t>
            </w:r>
          </w:p>
          <w:p w14:paraId="444C16DE">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新农村示范片：西南镇、大安镇</w:t>
            </w:r>
          </w:p>
          <w:p w14:paraId="45A5FB19">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森林小镇：八万镇、陂洋镇</w:t>
            </w:r>
          </w:p>
          <w:p w14:paraId="40CC87C2">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现代农业、生态旅游：铜锣湖农场</w:t>
            </w:r>
          </w:p>
          <w:p w14:paraId="0B5FB78F">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农产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加工、集散：博美镇、内湖镇</w:t>
            </w:r>
          </w:p>
          <w:p w14:paraId="00D4FE7A">
            <w:pPr>
              <w:widowControl/>
              <w:snapToGrid/>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南部滨海城镇发展区：</w:t>
            </w:r>
          </w:p>
          <w:p w14:paraId="20251FA4">
            <w:pPr>
              <w:widowControl/>
              <w:snapToGrid/>
              <w:spacing w:before="0" w:beforeAutospacing="0" w:after="0" w:afterAutospacing="0" w:line="400" w:lineRule="exact"/>
              <w:ind w:firstLine="560"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 xml:space="preserve">汕尾高新区（星都片区）：节能环保、新材料、循环产业 </w:t>
            </w:r>
          </w:p>
          <w:p w14:paraId="03473D4D">
            <w:pPr>
              <w:widowControl/>
              <w:snapToGrid/>
              <w:spacing w:before="0" w:beforeAutospacing="0" w:after="0" w:afterAutospacing="0" w:line="400" w:lineRule="exact"/>
              <w:ind w:firstLine="560"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 xml:space="preserve">沿海旅游产业带：生态旅游、红色旅游、滨海旅游 </w:t>
            </w:r>
          </w:p>
          <w:p w14:paraId="289A409A">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能源装备产业带：陆丰核电站-海工基地、湖东临港产业园、三甲地区工业园区、大南海石化产业园汕尾东海岸石化基地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t>。</w:t>
            </w:r>
          </w:p>
          <w:p w14:paraId="050FBAEE">
            <w:pPr>
              <w:snapToGrid/>
              <w:spacing w:before="0" w:beforeAutospacing="0" w:after="0" w:afterAutospacing="0" w:line="400" w:lineRule="exact"/>
              <w:ind w:firstLine="562" w:firstLineChars="200"/>
              <w:jc w:val="both"/>
              <w:textAlignment w:val="baseline"/>
              <w:rPr>
                <w:rFonts w:ascii="宋体" w:hAnsi="宋体" w:eastAsia="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3.两带一廊：</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沿海经济发展带、广惠汕发展带和汕梅发展走廊。</w:t>
            </w:r>
          </w:p>
        </w:tc>
      </w:tr>
    </w:tbl>
    <w:p w14:paraId="71C9937F">
      <w:pPr>
        <w:snapToGrid w:val="0"/>
        <w:spacing w:before="0" w:beforeAutospacing="0" w:after="0" w:afterAutospacing="0" w:line="600" w:lineRule="exact"/>
        <w:ind w:firstLine="643" w:firstLineChars="200"/>
        <w:jc w:val="both"/>
        <w:textAlignment w:val="baseline"/>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bookmarkStart w:id="164" w:name="_Toc29217"/>
      <w:bookmarkStart w:id="165" w:name="_Toc19992"/>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推动市域四大</w:t>
      </w:r>
      <w:r>
        <w:rPr>
          <w:rFonts w:hint="eastAsia" w:ascii="仿宋" w:hAnsi="仿宋"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发展</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组团建设。</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包括西部星都-潭西组团、中部碣石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湖东组团、东部三甲组团、北部生态经济组团。</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西部星都</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潭西组团</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借助</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东海大道与 </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324 </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国道交汇于河西地区</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的交通区位优势以及城区</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向西拓展的趋势，</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星都经济开发区高速</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交通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出入口</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，增</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与海丰县可塘工业园的联系，在东海镇以西，以星都经济开发区为中心，辐射河西、潭西、上英等地区，形成以新型制造、产业服务、健康休闲、生态居住为主导职能的创新型产城融合发展示范区。</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中部碣石</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湖东组团</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作为市域南部的发展副中心，</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培育</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核电新能源产业、港口物流业、现代制造业及滨海旅游业，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强化对</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周边南塘和桥冲等城镇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辐射带动作用。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东部三甲组团</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依托甲子港，以原有的甲子镇为基础，联合甲东和甲西，重点发展五金塑料、家具配件等制造业及传统特色产业、现代渔业、滨海旅游业，承担次区域发展增长集聚和联结</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汕潮揭都市圈</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的枢纽作用。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北部生态经济组团</w:t>
      </w:r>
      <w:r>
        <w:rPr>
          <w:rFonts w:hint="eastAsia" w:ascii="仿宋" w:hAnsi="仿宋"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依托</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博美、陂洋、八万、大安、西南等镇，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借助</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地理优势及山地、林场等良好生态资源，在保护生态环境的前提下，适度发展生态产业与现代农业，逐步发展为汕尾市区域生态文明示范区。</w:t>
      </w:r>
    </w:p>
    <w:p w14:paraId="1EC0E0B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6" w:name="_Toc13656"/>
      <w:r>
        <w:rPr>
          <w:rFonts w:hint="eastAsia" w:ascii="黑体" w:hAnsi="黑体" w:eastAsia="黑体" w:cs="仿宋"/>
          <w:color w:val="000000" w:themeColor="text1"/>
          <w:sz w:val="32"/>
          <w:szCs w:val="32"/>
          <w:highlight w:val="none"/>
          <w14:textFill>
            <w14:solidFill>
              <w14:schemeClr w14:val="tx1"/>
            </w14:solidFill>
          </w14:textFill>
        </w:rPr>
        <w:t>第二节 加快老区振兴发展</w:t>
      </w:r>
      <w:bookmarkEnd w:id="164"/>
      <w:bookmarkEnd w:id="165"/>
      <w:bookmarkEnd w:id="166"/>
      <w:bookmarkStart w:id="167" w:name="_Toc9185"/>
    </w:p>
    <w:p w14:paraId="3EDBBABE">
      <w:pPr>
        <w:widowControl/>
        <w:snapToGrid/>
        <w:spacing w:before="0" w:beforeAutospacing="0" w:after="0" w:afterAutospacing="0" w:line="600" w:lineRule="exact"/>
        <w:ind w:firstLine="640" w:firstLineChars="200"/>
        <w:jc w:val="both"/>
        <w:textAlignment w:val="baseline"/>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pP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加快落实《关于进一步推动我省革命老区和原中央苏区振兴发展的意见》《海陆丰革命老区振兴发展规划》以及支持革命老区振兴发展的其他政策文件，用足用好政策红利。进一步争取国家、省加大政策帮扶力度，推动老区完善基础设施、发展产业、补齐民生短板，积极创建革命老区高质量发展示范区。深入落实省关于海陆丰革命老区振兴的财政、投资、产业、金融、土地、人才及试点政策、加强对革命遗址的保护、开发与利用。对符合评选标准的，加快申报爱国主义教育基地、国防教育基地、中共党史</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学习</w:t>
      </w: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教育基地，打造一批示范基地。大力发展红色旅游，打造海陆丰红色革命文化核心区，将老区红色旅游景区列入全国红色旅游精品路线和全国重点红色旅游区景点</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r>
        <w:rPr>
          <w:rFonts w:hint="eastAsia" w:ascii="仿宋_GB2312" w:hAnsi="仿宋" w:eastAsia="仿宋_GB2312"/>
          <w:b w:val="0"/>
          <w:i w:val="0"/>
          <w:caps w:val="0"/>
          <w:color w:val="000000" w:themeColor="text1"/>
          <w:spacing w:val="0"/>
          <w:w w:val="100"/>
          <w:kern w:val="0"/>
          <w:sz w:val="32"/>
          <w:szCs w:val="20"/>
          <w:highlight w:val="none"/>
          <w:u w:val="none" w:color="auto"/>
          <w:lang w:val="en-US" w:eastAsia="zh-CN"/>
          <w14:textFill>
            <w14:solidFill>
              <w14:schemeClr w14:val="tx1"/>
            </w14:solidFill>
          </w14:textFill>
        </w:rPr>
        <w:t>创建</w:t>
      </w: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一批3A级以上的景区</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p>
    <w:p w14:paraId="38FAB6F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8" w:name="_Toc6543"/>
      <w:bookmarkStart w:id="169" w:name="_Toc5219"/>
      <w:bookmarkStart w:id="170" w:name="_Toc7842"/>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167"/>
      <w:r>
        <w:rPr>
          <w:rFonts w:hint="eastAsia" w:ascii="黑体" w:hAnsi="黑体" w:eastAsia="黑体" w:cs="仿宋"/>
          <w:color w:val="000000" w:themeColor="text1"/>
          <w:sz w:val="32"/>
          <w:szCs w:val="32"/>
          <w:highlight w:val="none"/>
          <w14:textFill>
            <w14:solidFill>
              <w14:schemeClr w14:val="tx1"/>
            </w14:solidFill>
          </w14:textFill>
        </w:rPr>
        <w:t>全面提升中心城区发展能级</w:t>
      </w:r>
      <w:bookmarkEnd w:id="168"/>
      <w:bookmarkEnd w:id="169"/>
      <w:bookmarkEnd w:id="170"/>
    </w:p>
    <w:p w14:paraId="1045CAA7">
      <w:pPr>
        <w:snapToGrid/>
        <w:spacing w:before="0" w:beforeAutospacing="0" w:after="0" w:afterAutospacing="0" w:line="58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——以“联创行动”为抓手，对标对表全省中等城市标准，加强中心城区公建配套能力，提升城市发展能级。</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完善国土空间规划，增强城市整体性和协调性，加快“城市客厅”“城市展厅”“城市阳台”建设，实现控制性详细规划全覆盖。树立经营城市理念，以螺河为中心，向东西两岸拓展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5平方公里</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扩大城区规模，完善中等城市基本框架，对接周边城市规划，实现300米见绿、500米见公园，推动区域、城乡统筹融合发展。统筹推进老城区改造和新城区建设，合理布局公共设施，推进城市路网、污水管网、停车场、公共厕所、人行道、标志牌、景观绿化等建设，疏浚城市水体、治理城市内涝，不断完善城市功能。</w:t>
      </w:r>
    </w:p>
    <w:p w14:paraId="76B9D118">
      <w:pPr>
        <w:snapToGrid/>
        <w:spacing w:before="0" w:beforeAutospacing="0" w:after="0" w:afterAutospacing="0" w:line="58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——优化提升中心城区环境品质。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城中村改社区基层组织、集体产权管理、公共产品供给等制度改革。明晰和固化集体资产权属，推动农村土地集约节约利用，提高城乡基本公共服务一体化水平。推动村改社区在市政规划、基础设施、社会治理、公共服务、财政供给等方面与城市社区相衔接，引导城市规划区内村庄建成特色社区。妥善解决村改社区历史遗留问题。分类推进城中村治理，建立城中村更新改造项目库</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，加快推进老城区改造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新城区建设和农村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厕所革命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，建立完善环境保洁特别是公厕保洁长效机制，确保达到干净整洁村标准。</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探索城中村改造多元化投融资模式，搭建城中村改造融资平台，拓展多元融资渠道，吸纳社会资本参与城中村改造。</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大力提升城市精细化管理水平，重点抓好交通秩序、市容市貌整治提升，深入推进垃圾分类，加快完成陆城“撤桶”，做到“垃圾不落地，陆城更美丽”。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通过“微改造”促进城市有机更新，推动“绣花针”式精细化管理，打造“数字城市”“智慧城市”，促使城市焕发新活力。</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372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7AF003D">
            <w:pPr>
              <w:pStyle w:val="10"/>
              <w:snapToGrid/>
              <w:spacing w:before="0" w:beforeAutospacing="0" w:after="12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专栏9-2 提升城市公共服务能力重点工程</w:t>
            </w:r>
          </w:p>
        </w:tc>
      </w:tr>
      <w:tr w14:paraId="5724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1AA5B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我市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推进生活污水处理设施建设PPP项目：</w:t>
            </w:r>
          </w:p>
          <w:p w14:paraId="20D721E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中心城区部分：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新建城区配套污水收集管网。</w:t>
            </w:r>
          </w:p>
          <w:p w14:paraId="377D58A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镇区部分：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新建八万、陂洋、博美、大安、河东、河西、湖东、甲东、金厢、南塘、内湖、桥冲、上英、潭西、西南和铜锣湖农场等16座镇级生活污水处理厂。</w:t>
            </w:r>
          </w:p>
          <w:p w14:paraId="5859E66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农村部分：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新建892座农村污水处理设施，覆盖895个自然村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59EEA83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2.陆丰市第二污水处理厂（一期）工程及配套管网工程：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建设内容包含日处理50000吨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的</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厂区工程及管网工程。</w:t>
            </w:r>
          </w:p>
          <w:p w14:paraId="6AF1927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3.陆丰市垃圾分类处理中心项目：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推动陆丰市垃圾分类处理中心项目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，主要建设垃圾中转站、垃圾处理车间、有害垃圾临时停放分拣中心、可回收垃圾临时停放站、厨余垃圾处理站及配套设施设备。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 xml:space="preserve">  </w:t>
            </w:r>
          </w:p>
          <w:p w14:paraId="54DAAA2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4.螺河东路至第二污水厂管网工程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：建设污水管网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筋砼管</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钢筋砼矩形井、顶管工作井、顶管接收井、提升泵房</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7E53C17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5.螺河东路市政工程（一期）：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一期建设线路由广汕公路茫洋桥至新广汕公路相接，道路红线宽度按80米控制，双向6车道。</w:t>
            </w:r>
          </w:p>
          <w:p w14:paraId="75D6EFB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6.运河景观带建设项目：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全长4.82公里，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主要建设内容包括</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河道驳岸工程，绿化工程、硬质工程、公共配套设施、道路白改黑等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4A77358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7.陆丰创园公园建设项目：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建设23个公园建设项目，其中新建4类22项公园，升级改造公园1项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750A21E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8.陆丰市老旧小区改造工程: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批对全市建成区部分老旧小区进行改造升级，重点是东海镇玉印小区，东海镇红桥小区，城东镇税所宿舍，东海镇东风商城宿舍、东海镇新光副食品厂宿舍，东海镇南堤工商物业、东海镇红光荣兴新村、东海镇红光大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。谋划推动碣石镇、甲子镇老旧小区改造项目。</w:t>
            </w:r>
          </w:p>
          <w:p w14:paraId="2DE29CA0">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9.陆丰市新时代市民广场建设项目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活力、人文、生态为内涵，突出城市形象轴线的打造，为市民提供集会、运动、休闲场所。建设广场集散区域、阳光草坪、植物园、儿童活动场以及多个体育活动空间。配套1个地下人防空间兼停车场，地下人防</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tc>
      </w:tr>
    </w:tbl>
    <w:p w14:paraId="04F36BE5">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71" w:name="_Toc28041"/>
      <w:bookmarkStart w:id="172" w:name="_Toc17980"/>
      <w:bookmarkStart w:id="173" w:name="_Toc22662"/>
      <w:bookmarkStart w:id="174" w:name="_Toc440"/>
      <w:r>
        <w:rPr>
          <w:rFonts w:hint="eastAsia" w:ascii="黑体" w:hAnsi="黑体" w:eastAsia="黑体" w:cs="仿宋"/>
          <w:color w:val="000000" w:themeColor="text1"/>
          <w:sz w:val="32"/>
          <w:szCs w:val="32"/>
          <w:highlight w:val="none"/>
          <w14:textFill>
            <w14:solidFill>
              <w14:schemeClr w14:val="tx1"/>
            </w14:solidFill>
          </w14:textFill>
        </w:rPr>
        <w:t>第四节 推动县域高质量发展</w:t>
      </w:r>
      <w:bookmarkEnd w:id="171"/>
      <w:bookmarkEnd w:id="172"/>
      <w:bookmarkEnd w:id="173"/>
      <w:bookmarkEnd w:id="174"/>
    </w:p>
    <w:p w14:paraId="74483676">
      <w:pPr>
        <w:pStyle w:val="22"/>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协调</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好中心城区和各镇的发展关系，推动城镇功能互补和协同发展，增强区域人口集聚和综合承载能力。优先支持中心镇加快发展，加快补齐建制镇的基础设施和公共服务短板，优化公共服务和基础设施，引导农民到中心镇集中居住，形成良好城乡发展格局。高水平规划建设碣石镇、南塘镇，</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积极</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推动三甲地区三镇一体化进程，打造一批具有产业特色优势、传承民俗文化的魅力</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区域中心，带动农业农村现代化和农民就近城镇化。</w:t>
      </w:r>
    </w:p>
    <w:p w14:paraId="531CA615">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碣石镇建设市域副中心。</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借助碣石镇是</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城乡融合发展省级试点镇</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和广东省圣诞品专业镇的优势</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打造成为以圣诞玩具、服装、电子、</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贝</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雕为主的加工工业中心，发展休闲旅游业和现代商贸业，陆丰市环境优美的市域副中心。积极参与和推动从乌坎至金厢镇到碣石镇的滨海旅游带建设，强化南塘镇的联系，拓宽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228</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国道，加强物流与高铁的接驳。强化中心镇区的配套服务功能，发展商业、宾馆、金融、文体和医疗卫生等服务设施；加</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快谋划推动碣石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民营工业园区建设，</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圣诞玩具、服装、电子、木雕等传统优势产业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创新集聚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发展</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进一步做大做强海工基地，</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不断</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延伸发展临港工业</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大力</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推进</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现代农业，发展</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农产品加工</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；注重保护</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海洋</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生态环境，建设环境优美、设施完备的新型</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滨海</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居住</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和现代</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产业区。</w:t>
      </w:r>
    </w:p>
    <w:p w14:paraId="13341480">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——促进三甲协同发展。</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借助三甲地区地理相邻、文化同源、情谊相通的优势，加强甲子镇、甲东镇和甲西镇的一体化进程。推动三镇联合解决基础设施、产业布局和城市建设的协同。发挥三甲地区强劲的民营产业内生动力，在甲东镇布局民营工业园，通过集中集约发展，发展以五金塑料、工艺制品、家具配件为主的外向型工业生产基地。整合发展空间和优化资源配置的同时，重点加强与东部惠来、普宁的联系，建设大南海石化产业园汕尾东海岸石化基地项目，积极承接与石化产业相关的下游产业，继续壮大五金塑料、海产品深加工、五金塑料家具配件等传统产业；发展现代商贸业，注重保护生态环境，建设环境优美、设施完备的新型居住、产业区。</w:t>
      </w:r>
    </w:p>
    <w:p w14:paraId="634C153F">
      <w:pPr>
        <w:snapToGrid/>
        <w:spacing w:before="0" w:beforeAutospacing="0" w:after="0" w:afterAutospacing="0" w:line="600" w:lineRule="exact"/>
        <w:ind w:firstLine="643" w:firstLineChars="200"/>
        <w:jc w:val="both"/>
        <w:textAlignment w:val="baseline"/>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——有效发挥南塘镇交通枢纽作用，提升东南部城镇通达度。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依托汕汕高铁陆丰东站，发挥南塘镇作为革命老区</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重点镇、文明镇</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农业重镇的优势，强化</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作为我市</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中西部商贸物流及特色农产品生产及加工专业镇功能。发展</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蔬菜种植业、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畜禽养殖业，带动农副产品加工业的发展，形成市域中西部的商贸物流及农副产品加工基地和环境优美的现代化农业城镇。打造南塘民营工业园，促进制造业规模和质量双提升。重点围绕东站周边商贸物流聚集区，利用自身特色优势打造民营品牌的农副产品加工业，采取集约式和外向带动相结合的发展模式，发展民营经济和外向型经济。</w:t>
      </w:r>
    </w:p>
    <w:p w14:paraId="0296740F">
      <w:pPr>
        <w:pStyle w:val="2"/>
        <w:rPr>
          <w:rFonts w:hint="eastAsia"/>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BE2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22" w:type="dxa"/>
          </w:tcPr>
          <w:p w14:paraId="244312B0">
            <w:pPr>
              <w:snapToGrid/>
              <w:spacing w:before="0" w:beforeAutospacing="0" w:after="0" w:afterAutospacing="0" w:line="600" w:lineRule="exact"/>
              <w:jc w:val="center"/>
              <w:textAlignment w:val="baseline"/>
              <w:rPr>
                <w:rFonts w:hint="eastAsia"/>
                <w:b/>
                <w:bCs/>
                <w:i w:val="0"/>
                <w:caps w:val="0"/>
                <w:color w:val="000000" w:themeColor="text1"/>
                <w:spacing w:val="0"/>
                <w:w w:val="100"/>
                <w:sz w:val="30"/>
                <w:szCs w:val="30"/>
                <w:highlight w:val="none"/>
                <w:u w:val="none" w:color="auto"/>
                <w14:textFill>
                  <w14:solidFill>
                    <w14:schemeClr w14:val="tx1"/>
                  </w14:solidFill>
                </w14:textFill>
              </w:rPr>
            </w:pPr>
            <w:bookmarkStart w:id="175" w:name="_Toc32324"/>
            <w:bookmarkStart w:id="176" w:name="_Toc30466"/>
            <w:bookmarkStart w:id="177" w:name="_Toc21183"/>
            <w:bookmarkStart w:id="178" w:name="_Toc26686"/>
            <w:bookmarkStart w:id="179" w:name="_Toc12635"/>
            <w:bookmarkStart w:id="180" w:name="_Toc7544"/>
            <w:bookmarkStart w:id="181" w:name="_Toc30599"/>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专栏9-3 各城镇职能定位及分工</w:t>
            </w:r>
            <w:bookmarkEnd w:id="175"/>
            <w:bookmarkEnd w:id="176"/>
            <w:bookmarkEnd w:id="177"/>
            <w:bookmarkEnd w:id="178"/>
            <w:bookmarkEnd w:id="179"/>
            <w:bookmarkEnd w:id="180"/>
            <w:bookmarkEnd w:id="181"/>
          </w:p>
        </w:tc>
      </w:tr>
      <w:tr w14:paraId="709E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7" w:hRule="atLeast"/>
        </w:trPr>
        <w:tc>
          <w:tcPr>
            <w:tcW w:w="8522" w:type="dxa"/>
          </w:tcPr>
          <w:p w14:paraId="1294CAC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1.综合服务型城镇：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中心城区、碣石镇、甲子镇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为城市规划区、市域中部地区、市域东部地区的生产中心、生活中心和综合服务中心。</w:t>
            </w:r>
          </w:p>
          <w:p w14:paraId="719D97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2.商贸型城镇：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指南塘镇，依托汕汕高铁陆丰东站，吸引来往交通流和更多商贸活动。</w:t>
            </w:r>
          </w:p>
          <w:p w14:paraId="725D9B1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3.工贸型城镇：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内湖镇、湖东镇、上英镇、潭西镇、星都经济开发区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重点发展工业、商贸职能，培育成为工业发达、商贸服务兴旺的工贸型城镇。其中，星都经济开发区属于工贸型城镇，未来将打造成为国家级高新区的重要组成部分，成为汕尾市中部的新型产业基地与综合服务新城，并以</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东海经济开发区发展</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生物医药、电子信息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为主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5779445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4.农业型城镇：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包括博美镇、大安镇、陂洋镇、桥冲镇、西南镇、八万镇等，农业较为发达，应结合其自身的资源特色，发挥资源优势，重点发展特色农业。</w:t>
            </w:r>
          </w:p>
          <w:p w14:paraId="5ECD3A6C">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5.旅游型城镇：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金厢镇、河东镇，生态环境良好，旅游资源得天独厚，金厢镇更是拥有被誉为“粤东旅游黄金海岸”的金厢滩，重点发展观光旅游业。</w:t>
            </w:r>
          </w:p>
        </w:tc>
      </w:tr>
    </w:tbl>
    <w:p w14:paraId="12773B58">
      <w:pPr>
        <w:spacing w:line="200" w:lineRule="exact"/>
        <w:ind w:firstLine="0" w:firstLineChars="0"/>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pPr>
    </w:p>
    <w:p w14:paraId="1555AB97">
      <w:pPr>
        <w:ind w:firstLine="643" w:firstLineChars="200"/>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color w:val="000000" w:themeColor="text1"/>
          <w:sz w:val="32"/>
          <w:szCs w:val="32"/>
          <w:highlight w:val="none"/>
          <w14:textFill>
            <w14:solidFill>
              <w14:schemeClr w14:val="tx1"/>
            </w14:solidFill>
          </w14:textFill>
        </w:rPr>
        <w:t>坚持精品城市建设引领，打造裂变发展新载体</w:t>
      </w:r>
    </w:p>
    <w:p w14:paraId="629A3DB8">
      <w:pPr>
        <w:ind w:firstLine="640"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抓好23个镇（场区）新规划</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全面推进</w:t>
      </w:r>
      <w:r>
        <w:rPr>
          <w:rFonts w:hint="eastAsia" w:ascii="仿宋_GB2312" w:hAnsi="仿宋_GB2312" w:eastAsia="仿宋_GB2312" w:cs="仿宋_GB2312"/>
          <w:color w:val="000000" w:themeColor="text1"/>
          <w:sz w:val="32"/>
          <w:szCs w:val="32"/>
          <w:highlight w:val="none"/>
          <w:shd w:val="clear" w:color="auto" w:fill="FFFFFF"/>
          <w:lang w:val="en-US" w:eastAsia="zh-CN"/>
          <w14:textFill>
            <w14:solidFill>
              <w14:schemeClr w14:val="tx1"/>
            </w14:solidFill>
          </w14:textFill>
        </w:rPr>
        <w:t>各</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镇（场区）新型城镇化建设，以镇、村率先发展推动全市全面裂变发展。</w:t>
      </w:r>
    </w:p>
    <w:p w14:paraId="069124EA">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东海镇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发挥中心城区的领头作用，切实抓好螺河东路、行政新区公园、五星级酒店等项目的征地工作，全力做好项目要素保障。推进陆丰市乌坎滨海旅游环境综合整治项目</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建设</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，促进旅游消费。加快东海经济产业园提质增效，点燃镇域经济发展的发动机</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，重点推进康佳半导体光电显示及终端项目建设</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。要在“绣花功夫”上下苦工，全面抓好上海路、河图岭路、龙山大道等十条旧城区市政道路升级改造，规划好</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300米见绿、500米见园的标点，做好环境卫生、整治交通拥堵，以全新的面貌率先实现城美、街美、村美。</w:t>
      </w:r>
    </w:p>
    <w:p w14:paraId="4A4EBD36">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城东镇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火车站站前广场建设，升级改造城东大道、延伸东埔路接入陆丰大道，承接陆城外溢红利。推进高美（海鲈）水产科技养殖产业基地和生猪养殖项目基地、磨海枸杞菜种植基地等在建项目建设，实现城郊融合、集聚发展。</w:t>
      </w:r>
    </w:p>
    <w:p w14:paraId="3CCEA5A1">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河东镇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以建设陆城“东大门”为引领，</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加快谋划建设后坎温泉度假村、国防教育基地、华辉至后坎村环城北大道等项目，</w:t>
      </w:r>
      <w:r>
        <w:rPr>
          <w:rFonts w:hint="eastAsia" w:ascii="Times New Roman" w:hAnsi="Times New Roman" w:eastAsia="仿宋_GB2312"/>
          <w:color w:val="000000" w:themeColor="text1"/>
          <w:kern w:val="0"/>
          <w:sz w:val="32"/>
          <w:szCs w:val="32"/>
          <w:highlight w:val="none"/>
          <w:shd w:val="clear" w:color="auto" w:fill="FFFFFF"/>
          <w:lang w:bidi="ar"/>
          <w14:textFill>
            <w14:solidFill>
              <w14:schemeClr w14:val="tx1"/>
            </w14:solidFill>
          </w14:textFill>
        </w:rPr>
        <w:t>推动“</w:t>
      </w:r>
      <w:r>
        <w:rPr>
          <w:rFonts w:hint="eastAsia" w:ascii="仿宋_GB2312" w:hAnsi="仿宋_GB2312" w:eastAsia="仿宋_GB2312" w:cs="仿宋_GB2312"/>
          <w:color w:val="000000" w:themeColor="text1"/>
          <w:sz w:val="32"/>
          <w:szCs w:val="32"/>
          <w:highlight w:val="none"/>
          <w14:textFill>
            <w14:solidFill>
              <w14:schemeClr w14:val="tx1"/>
            </w14:solidFill>
          </w14:textFill>
        </w:rPr>
        <w:t>七彩稻花香”、高株油菜花景观网红打卡地和后坎大洋片千亩玉米农业休闲田园综合体发挥效应，打造农业休闲旅游观光小镇。</w:t>
      </w:r>
    </w:p>
    <w:p w14:paraId="16071A4F">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河西镇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当好向西融入</w:t>
      </w:r>
      <w:r>
        <w:rPr>
          <w:rFonts w:hint="eastAsia" w:ascii="Times New Roman" w:hAnsi="Times New Roman" w:eastAsia="仿宋_GB2312"/>
          <w:color w:val="000000" w:themeColor="text1"/>
          <w:kern w:val="0"/>
          <w:sz w:val="32"/>
          <w:szCs w:val="32"/>
          <w:highlight w:val="none"/>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双区”排头兵，加快推进国道324线河西段、省道510线河西段等基础设施建设，以</w:t>
      </w:r>
      <w:r>
        <w:rPr>
          <w:rFonts w:hint="eastAsia" w:ascii="Times New Roman" w:hAnsi="Times New Roman" w:eastAsia="仿宋_GB2312"/>
          <w:color w:val="000000" w:themeColor="text1"/>
          <w:sz w:val="32"/>
          <w:szCs w:val="32"/>
          <w:highlight w:val="none"/>
          <w:lang w:val="zh-CN"/>
          <w14:textFill>
            <w14:solidFill>
              <w14:schemeClr w14:val="tx1"/>
            </w14:solidFill>
          </w14:textFill>
        </w:rPr>
        <w:t>农业生态休闲观光示范带建设为主要抓手，打造田园综合体示范点，</w:t>
      </w:r>
      <w:r>
        <w:rPr>
          <w:rFonts w:hint="eastAsia" w:ascii="仿宋_GB2312" w:hAnsi="仿宋_GB2312" w:eastAsia="仿宋_GB2312" w:cs="仿宋_GB2312"/>
          <w:color w:val="000000" w:themeColor="text1"/>
          <w:sz w:val="32"/>
          <w:szCs w:val="32"/>
          <w:highlight w:val="none"/>
          <w14:textFill>
            <w14:solidFill>
              <w14:schemeClr w14:val="tx1"/>
            </w14:solidFill>
          </w14:textFill>
        </w:rPr>
        <w:t>焕发镇、村新面貌。</w:t>
      </w:r>
    </w:p>
    <w:p w14:paraId="1A2E6950">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上英镇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加快推进水稻、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番</w:t>
      </w:r>
      <w:r>
        <w:rPr>
          <w:rFonts w:hint="eastAsia" w:ascii="仿宋_GB2312" w:hAnsi="仿宋_GB2312" w:eastAsia="仿宋_GB2312" w:cs="仿宋_GB2312"/>
          <w:color w:val="000000" w:themeColor="text1"/>
          <w:sz w:val="32"/>
          <w:szCs w:val="32"/>
          <w:highlight w:val="none"/>
          <w14:textFill>
            <w14:solidFill>
              <w14:schemeClr w14:val="tx1"/>
            </w14:solidFill>
          </w14:textFill>
        </w:rPr>
        <w:t>薯等特色农产品面向“大湾区”市场的步伐，大力发展“农家乐”、“蔬菜园”一体的田园综合体，积极对接珠东快速路（陆丰段）和沿海观光路项目建设，打造产、乡、景一体化融合发展的陆城后花园。</w:t>
      </w:r>
    </w:p>
    <w:p w14:paraId="218CD2E4">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潭西镇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力推进省道510线潭西至西南公路、沈海高速潭西段改扩建工程及潭西互通出入口项目，积极衔接珠东快速路（陆丰段）规划，畅通陆丰西大门美丽通道。要充分挖掘潭涌七乡农会旧址、大楼古村落、“法留腾云”文化旅游资源，建设生态文旅农业强镇。</w:t>
      </w:r>
    </w:p>
    <w:p w14:paraId="4C902E50">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星都</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经济</w:t>
      </w:r>
      <w:r>
        <w:rPr>
          <w:rFonts w:hint="eastAsia" w:ascii="仿宋_GB2312" w:hAnsi="仿宋_GB2312" w:eastAsia="仿宋_GB2312" w:cs="仿宋_GB2312"/>
          <w:b/>
          <w:color w:val="000000" w:themeColor="text1"/>
          <w:sz w:val="32"/>
          <w:szCs w:val="32"/>
          <w:highlight w:val="none"/>
          <w14:textFill>
            <w14:solidFill>
              <w14:schemeClr w14:val="tx1"/>
            </w14:solidFill>
          </w14:textFill>
        </w:rPr>
        <w:t>开发区</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以打造西翼工业和物流产业高地为引领，全面融入汕尾高新技术产业开发区，加快德辉环境科技项目和榕丰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活性炭</w:t>
      </w:r>
      <w:r>
        <w:rPr>
          <w:rFonts w:hint="eastAsia" w:ascii="仿宋_GB2312" w:hAnsi="仿宋_GB2312" w:eastAsia="仿宋_GB2312" w:cs="仿宋_GB2312"/>
          <w:color w:val="000000" w:themeColor="text1"/>
          <w:sz w:val="32"/>
          <w:szCs w:val="32"/>
          <w:highlight w:val="none"/>
          <w14:textFill>
            <w14:solidFill>
              <w14:schemeClr w14:val="tx1"/>
            </w14:solidFill>
          </w14:textFill>
        </w:rPr>
        <w:t>项目的建设进度，推动已供地项目新型建材产业基地建设项目、伍峰新型建材项目和广绿环保设备生产基地项目早日动工建设，力争年底前实现园区效益。</w:t>
      </w:r>
    </w:p>
    <w:p w14:paraId="56F954B5">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金厢镇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以争创“八大美丽”示范为抓手，依托滨海走廊景观示范带建设，重点推进周恩来红色革命遗址保护利用、金厢渔港建设、金沙湾文旅等重大项目建设，加快金厢溪碧道、创建AAA景区、星级酒店、民宿等工程建设进度，打造陆丰全域旅游先行示范点。</w:t>
      </w:r>
    </w:p>
    <w:p w14:paraId="593FCF89">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碣石镇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围绕市域副中心定位，用足用活海工基地和植物龙等省级农业产业园带来辐射效应，同步加快碣石产业园建设，推进圣诞品等传统产业转型,加快经济腾飞发展。结合乡村振兴滨海走廊示范带建设项目，大力推动</w:t>
      </w:r>
      <w:r>
        <w:rPr>
          <w:rFonts w:ascii="仿宋_GB2312" w:hAnsi="仿宋_GB2312" w:eastAsia="仿宋_GB2312" w:cs="仿宋_GB2312"/>
          <w:color w:val="000000" w:themeColor="text1"/>
          <w:sz w:val="32"/>
          <w:szCs w:val="40"/>
          <w:highlight w:val="none"/>
          <w14:textFill>
            <w14:solidFill>
              <w14:schemeClr w14:val="tx1"/>
            </w14:solidFill>
          </w14:textFill>
        </w:rPr>
        <w:t>玄武山-浅澳度假旅游示范区项目</w:t>
      </w:r>
      <w:r>
        <w:rPr>
          <w:rFonts w:hint="eastAsia" w:ascii="仿宋_GB2312" w:hAnsi="仿宋_GB2312" w:eastAsia="仿宋_GB2312" w:cs="仿宋_GB2312"/>
          <w:color w:val="000000" w:themeColor="text1"/>
          <w:sz w:val="32"/>
          <w:szCs w:val="40"/>
          <w:highlight w:val="none"/>
          <w14:textFill>
            <w14:solidFill>
              <w14:schemeClr w14:val="tx1"/>
            </w14:solidFill>
          </w14:textFill>
        </w:rPr>
        <w:t>，带动餐饮、民宿等新产业经济发展，培育新的经济增长点。加快碣南大道等升级改造和</w:t>
      </w:r>
      <w:r>
        <w:rPr>
          <w:rFonts w:ascii="仿宋_GB2312" w:hAnsi="仿宋_GB2312" w:eastAsia="仿宋_GB2312" w:cs="仿宋_GB2312"/>
          <w:color w:val="000000" w:themeColor="text1"/>
          <w:sz w:val="32"/>
          <w:szCs w:val="40"/>
          <w:highlight w:val="none"/>
          <w14:textFill>
            <w14:solidFill>
              <w14:schemeClr w14:val="tx1"/>
            </w14:solidFill>
          </w14:textFill>
        </w:rPr>
        <w:t>内外环路</w:t>
      </w:r>
      <w:r>
        <w:rPr>
          <w:rFonts w:hint="eastAsia" w:ascii="仿宋_GB2312" w:hAnsi="仿宋_GB2312" w:eastAsia="仿宋_GB2312" w:cs="仿宋_GB2312"/>
          <w:color w:val="000000" w:themeColor="text1"/>
          <w:sz w:val="32"/>
          <w:szCs w:val="40"/>
          <w:highlight w:val="none"/>
          <w14:textFill>
            <w14:solidFill>
              <w14:schemeClr w14:val="tx1"/>
            </w14:solidFill>
          </w14:textFill>
        </w:rPr>
        <w:t>建设，发挥12个村垃圾分类示范点带动作用，推进陆丰市碣石镇老旧小区改造项目建设,促进产、城、乡一体发展，走出“碣石模式”裂变发展路子。</w:t>
      </w:r>
    </w:p>
    <w:p w14:paraId="671CC6AB">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湖东镇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发挥港湾镇的地理优势，加快推进湖东三洲澳LNG专用码头建设、陆丰市渔港经济区项目前期工作，全面激活海洋资源。要谋划打造好农产品交易市场及冷链物流基地，推动中南药基地省级龙头企业投产达效，盘活渡海处红色革命基地旅游效应，实现海洋经济和农工贸一体发展。</w:t>
      </w:r>
    </w:p>
    <w:p w14:paraId="05D5F085">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甲子镇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以镇区基础设施建设为重点，</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w:t>
      </w:r>
      <w:r>
        <w:rPr>
          <w:rFonts w:hint="eastAsia" w:ascii="仿宋_GB2312" w:eastAsia="仿宋_GB2312" w:cs="仿宋_GB2312"/>
          <w:color w:val="000000" w:themeColor="text1"/>
          <w:sz w:val="32"/>
          <w:szCs w:val="32"/>
          <w:highlight w:val="none"/>
          <w14:textFill>
            <w14:solidFill>
              <w14:schemeClr w14:val="tx1"/>
            </w14:solidFill>
          </w14:textFill>
        </w:rPr>
        <w:t>城镇排涝系统整治改造、</w:t>
      </w:r>
      <w:r>
        <w:rPr>
          <w:rFonts w:hint="eastAsia" w:ascii="仿宋_GB2312" w:hAnsi="仿宋_GB2312" w:eastAsia="仿宋_GB2312" w:cs="仿宋_GB2312"/>
          <w:color w:val="000000" w:themeColor="text1"/>
          <w:sz w:val="32"/>
          <w:szCs w:val="32"/>
          <w:highlight w:val="none"/>
          <w14:textFill>
            <w14:solidFill>
              <w14:schemeClr w14:val="tx1"/>
            </w14:solidFill>
          </w14:textFill>
        </w:rPr>
        <w:t>国道228线甲子至南塘段等建设。同时推动甲子渔港综合功能开发，</w:t>
      </w:r>
      <w:r>
        <w:rPr>
          <w:rFonts w:hint="eastAsia" w:ascii="仿宋_GB2312" w:eastAsia="仿宋_GB2312"/>
          <w:color w:val="000000" w:themeColor="text1"/>
          <w:sz w:val="32"/>
          <w:szCs w:val="32"/>
          <w:highlight w:val="none"/>
          <w14:textFill>
            <w14:solidFill>
              <w14:schemeClr w14:val="tx1"/>
            </w14:solidFill>
          </w14:textFill>
        </w:rPr>
        <w:t>发展远洋捕捞渔业和水产品精细加工业，激活商贸、物流，以“中间”带“两边”促进“三甲”地区一体化发展。</w:t>
      </w:r>
    </w:p>
    <w:p w14:paraId="392DF9BA">
      <w:pPr>
        <w:ind w:firstLine="643" w:firstLineChars="200"/>
        <w:jc w:val="both"/>
        <w:rPr>
          <w:rFonts w:hint="eastAsia" w:ascii="仿宋_GB2312" w:hAnsi="仿宋_GB2312" w:eastAsia="仿宋_GB2312" w:cs="仿宋_GB2312"/>
          <w:color w:val="000000" w:themeColor="text1"/>
          <w:sz w:val="32"/>
          <w:highlight w:val="none"/>
          <w:lang w:val="zh-CN"/>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甲西镇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充分利用人口、土地等资源优势，</w:t>
      </w:r>
      <w:r>
        <w:rPr>
          <w:rFonts w:hint="eastAsia" w:ascii="仿宋_GB2312" w:hAnsi="仿宋_GB2312" w:eastAsia="仿宋_GB2312" w:cs="仿宋_GB2312"/>
          <w:color w:val="000000" w:themeColor="text1"/>
          <w:sz w:val="32"/>
          <w:highlight w:val="none"/>
          <w:lang w:val="zh-CN"/>
          <w14:textFill>
            <w14:solidFill>
              <w14:schemeClr w14:val="tx1"/>
            </w14:solidFill>
          </w14:textFill>
        </w:rPr>
        <w:t>依托海甲岭山海风光、博社农旅融合生态示范园、禁毒示范基地以及教育城等项目建设，激活民宿酒店、农家乐和商贸等新消费。</w:t>
      </w:r>
    </w:p>
    <w:p w14:paraId="0E5349E7">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highlight w:val="none"/>
          <w:lang w:val="zh-CN"/>
          <w14:textFill>
            <w14:solidFill>
              <w14:schemeClr w14:val="tx1"/>
            </w14:solidFill>
          </w14:textFill>
        </w:rPr>
        <w:t>甲东镇：</w:t>
      </w:r>
      <w:r>
        <w:rPr>
          <w:rFonts w:hint="eastAsia" w:ascii="仿宋_GB2312" w:hAnsi="仿宋_GB2312" w:eastAsia="仿宋_GB2312" w:cs="仿宋_GB2312"/>
          <w:color w:val="000000" w:themeColor="text1"/>
          <w:sz w:val="32"/>
          <w:highlight w:val="none"/>
          <w:lang w:val="zh-CN"/>
          <w14:textFill>
            <w14:solidFill>
              <w14:schemeClr w14:val="tx1"/>
            </w14:solidFill>
          </w14:textFill>
        </w:rPr>
        <w:t>紧紧抓住东海岸大南海石化拓展区和</w:t>
      </w:r>
      <w:r>
        <w:rPr>
          <w:rFonts w:hint="eastAsia" w:eastAsia="仿宋_GB2312"/>
          <w:color w:val="000000" w:themeColor="text1"/>
          <w:sz w:val="32"/>
          <w:szCs w:val="32"/>
          <w:highlight w:val="none"/>
          <w:lang w:eastAsia="zh-CN"/>
          <w14:textFill>
            <w14:solidFill>
              <w14:schemeClr w14:val="tx1"/>
            </w14:solidFill>
          </w14:textFill>
        </w:rPr>
        <w:t>三甲地区工业园区</w:t>
      </w:r>
      <w:r>
        <w:rPr>
          <w:rFonts w:hint="eastAsia" w:ascii="Times New Roman" w:hAnsi="Times New Roman" w:eastAsia="仿宋_GB2312"/>
          <w:color w:val="000000" w:themeColor="text1"/>
          <w:sz w:val="32"/>
          <w:szCs w:val="32"/>
          <w:highlight w:val="none"/>
          <w14:textFill>
            <w14:solidFill>
              <w14:schemeClr w14:val="tx1"/>
            </w14:solidFill>
          </w14:textFill>
        </w:rPr>
        <w:t>建设的黄金发展机会，同步加快</w:t>
      </w:r>
      <w:r>
        <w:rPr>
          <w:rFonts w:hint="eastAsia" w:ascii="仿宋_GB2312" w:hAnsi="仿宋_GB2312" w:eastAsia="仿宋_GB2312" w:cs="仿宋_GB2312"/>
          <w:color w:val="000000" w:themeColor="text1"/>
          <w:sz w:val="32"/>
          <w:szCs w:val="32"/>
          <w:highlight w:val="none"/>
          <w14:textFill>
            <w14:solidFill>
              <w14:schemeClr w14:val="tx1"/>
            </w14:solidFill>
          </w14:textFill>
        </w:rPr>
        <w:t>甲东中心道路升级改造、自来水管道升级工程等基础设施建设，谋划建设瀛江新城构建三甲新地标，促进产城融合、城乡一体发展，带动甲东经济实现新飞跃。</w:t>
      </w:r>
    </w:p>
    <w:p w14:paraId="5AF8CA13">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南塘镇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托中心镇地理区位优势和陆丰东站重大布局，加快民营工业园区、华山森林公园、南甲公路扩建、南塘外环路等项目建设，全力保证南塘物流园区完工投产，打造东翼物流中心，逐步形成集工、商、旅一体的驿站小镇。</w:t>
      </w:r>
    </w:p>
    <w:p w14:paraId="1A8F3A9D">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博美镇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充分发挥蔬菜、萝卜、莲藕等特色农产品的优势，通过打造“博美洋”万亩现代高科技农田和“荷塘夜色”农业生态休闲观光综合体，做大做强品牌型农业。</w:t>
      </w:r>
    </w:p>
    <w:p w14:paraId="43125DD8">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内湖镇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w:t>
      </w:r>
      <w:r>
        <w:rPr>
          <w:rFonts w:hint="eastAsia" w:ascii="仿宋_GB2312" w:hAnsi="仿宋_GB2312" w:eastAsia="仿宋_GB2312" w:cs="仿宋_GB2312"/>
          <w:color w:val="000000" w:themeColor="text1"/>
          <w:sz w:val="32"/>
          <w:szCs w:val="32"/>
          <w:highlight w:val="none"/>
          <w14:textFill>
            <w14:solidFill>
              <w14:schemeClr w14:val="tx1"/>
            </w14:solidFill>
          </w14:textFill>
        </w:rPr>
        <w:t>配齐农业基础设施，发挥乡贤优势引进发展资金和创新技术，结合电商等平台加快将番薯、甜玉米等特色农产品推向市场，走出一条都市型农业的新路子。</w:t>
      </w:r>
    </w:p>
    <w:p w14:paraId="7018DCBB">
      <w:pPr>
        <w:ind w:firstLine="645"/>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桥冲镇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二千亩流转土地开发，推进白沙至后冲万亩养殖基地建设打造特色农业品牌，同时确保渔光互补电站项目今年完工投产。将溪碧周恩来治病处、观音山、大塘前后兵部历史和骑楼以及大塘至后冲田园综合体等“红、绿、古、特”特色旅游景观串珠成链，激活镇域经济新增长点。</w:t>
      </w:r>
    </w:p>
    <w:p w14:paraId="4284072F">
      <w:pPr>
        <w:ind w:firstLine="645"/>
        <w:jc w:val="both"/>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大安镇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结合</w:t>
      </w:r>
      <w:r>
        <w:rPr>
          <w:rFonts w:hint="eastAsia" w:ascii="仿宋_GB2312" w:hAnsi="仿宋_GB2312" w:eastAsia="仿宋_GB2312" w:cs="仿宋_GB2312"/>
          <w:color w:val="000000" w:themeColor="text1"/>
          <w:sz w:val="32"/>
          <w:szCs w:val="32"/>
          <w:highlight w:val="none"/>
          <w14:textFill>
            <w14:solidFill>
              <w14:schemeClr w14:val="tx1"/>
            </w14:solidFill>
          </w14:textFill>
        </w:rPr>
        <w:t>农业休闲观光示范带的建设，串联陆军村老县址、石寨古村落等特色旅游资源，带活餐饮、民宿、田园休闲游等消费，打开裂变发展新局面。</w:t>
      </w:r>
    </w:p>
    <w:p w14:paraId="73117399">
      <w:pPr>
        <w:keepNext w:val="0"/>
        <w:keepLines w:val="0"/>
        <w:pageBreakBefore w:val="0"/>
        <w:widowControl w:val="0"/>
        <w:kinsoku/>
        <w:wordWrap/>
        <w:overflowPunct/>
        <w:topLinePunct w:val="0"/>
        <w:autoSpaceDE/>
        <w:autoSpaceDN/>
        <w:bidi w:val="0"/>
        <w:adjustRightInd/>
        <w:snapToGrid/>
        <w:spacing w:line="600" w:lineRule="exact"/>
        <w:ind w:firstLine="645"/>
        <w:jc w:val="both"/>
        <w:textAlignment w:val="auto"/>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八万镇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以打造省级“森林小镇”为主要抓手，</w:t>
      </w:r>
      <w:r>
        <w:rPr>
          <w:rFonts w:hint="eastAsia" w:ascii="仿宋_GB2312" w:hAnsi="宋体" w:eastAsia="仿宋_GB2312"/>
          <w:color w:val="000000" w:themeColor="text1"/>
          <w:sz w:val="32"/>
          <w:szCs w:val="32"/>
          <w:highlight w:val="none"/>
          <w14:textFill>
            <w14:solidFill>
              <w14:schemeClr w14:val="tx1"/>
            </w14:solidFill>
          </w14:textFill>
        </w:rPr>
        <w:t>加快推进八万河两岸绿道建设工程，扩大牛大力中药材种植和“集装箱养鱼”的规模，大力</w:t>
      </w:r>
      <w:r>
        <w:rPr>
          <w:rFonts w:hint="eastAsia" w:ascii="仿宋_GB2312" w:hAnsi="仿宋_GB2312" w:eastAsia="仿宋_GB2312" w:cs="仿宋_GB2312"/>
          <w:color w:val="000000" w:themeColor="text1"/>
          <w:sz w:val="32"/>
          <w:szCs w:val="32"/>
          <w:highlight w:val="none"/>
          <w14:textFill>
            <w14:solidFill>
              <w14:schemeClr w14:val="tx1"/>
            </w14:solidFill>
          </w14:textFill>
        </w:rPr>
        <w:t>发展农家园林型、花园客栈型“农家乐”，形成生态旅游和森林康养为中心的新产业经济。</w:t>
      </w:r>
    </w:p>
    <w:p w14:paraId="73DB07C0">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西南镇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加快推动全镇</w:t>
      </w:r>
      <w:r>
        <w:rPr>
          <w:rFonts w:hint="eastAsia" w:ascii="仿宋_GB2312" w:hAnsi="仿宋_GB2312" w:eastAsia="仿宋_GB2312" w:cs="仿宋_GB2312"/>
          <w:color w:val="000000" w:themeColor="text1"/>
          <w:sz w:val="32"/>
          <w:szCs w:val="32"/>
          <w:highlight w:val="none"/>
          <w14:textFill>
            <w14:solidFill>
              <w14:schemeClr w14:val="tx1"/>
            </w14:solidFill>
          </w14:textFill>
        </w:rPr>
        <w:t>撂荒耕地“万亩流转”，以打造青塘丝苗米基地为重点，</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加快青塘村“美丽乡村”示范村建设。要跳出山外看山里，</w:t>
      </w:r>
      <w:r>
        <w:rPr>
          <w:rFonts w:hint="eastAsia" w:ascii="仿宋_GB2312" w:hAnsi="仿宋_GB2312" w:eastAsia="仿宋_GB2312" w:cs="仿宋_GB2312"/>
          <w:color w:val="000000" w:themeColor="text1"/>
          <w:sz w:val="32"/>
          <w:szCs w:val="32"/>
          <w:highlight w:val="none"/>
          <w14:textFill>
            <w14:solidFill>
              <w14:schemeClr w14:val="tx1"/>
            </w14:solidFill>
          </w14:textFill>
        </w:rPr>
        <w:t>借助潮惠高速出口以及省道510线建设的发展契机，加强配套设施建设，谋划好 “大物流中心”，发展黄塘嶂、石门坑水库一带生态旅游。</w:t>
      </w:r>
    </w:p>
    <w:p w14:paraId="0BDB5432">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陂洋镇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土地综合整治试点镇担当作为，当好全市排头兵。立足菠萝、荔枝等特色水果，激活内洋瀑布、芹洋红军烈士纪念碑（红色旅游）等旅游效应，加快推向“双区”市场。同时要确保陂洋镇飞灰填埋场项目今年投产达效。</w:t>
      </w:r>
    </w:p>
    <w:p w14:paraId="4958CA7C">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大安农场</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发展壮大特色农业品牌，打造集</w:t>
      </w:r>
      <w:r>
        <w:rPr>
          <w:rFonts w:hint="eastAsia" w:ascii="仿宋_GB2312" w:hAnsi="仿宋_GB2312" w:eastAsia="仿宋_GB2312" w:cs="仿宋_GB2312"/>
          <w:color w:val="000000" w:themeColor="text1"/>
          <w:sz w:val="32"/>
          <w:szCs w:val="40"/>
          <w:highlight w:val="none"/>
          <w14:textFill>
            <w14:solidFill>
              <w14:schemeClr w14:val="tx1"/>
            </w14:solidFill>
          </w14:textFill>
        </w:rPr>
        <w:t>休闲旅游观光为一体的生态橡胶公园，形成亲子游、家庭游为特色的奶牛养殖园休闲娱乐好去处，</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用新思路走出特色农业、品牌农业的新路子。</w:t>
      </w:r>
    </w:p>
    <w:p w14:paraId="4EB6DC58">
      <w:pPr>
        <w:spacing w:line="600" w:lineRule="exact"/>
        <w:ind w:firstLine="63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铜锣湖农场</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加快推进比德能源有限公司二期项目投产达效，在做优橡胶、奶牛牧场的同时，让更多优势农副产品贴上“陆丰”标签，走进“双区”每个家庭的餐桌。</w:t>
      </w:r>
    </w:p>
    <w:p w14:paraId="0A0CC522">
      <w:pPr>
        <w:spacing w:line="200" w:lineRule="exact"/>
        <w:ind w:firstLine="62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1507464">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182" w:name="_Toc28229"/>
      <w:bookmarkStart w:id="183" w:name="_Toc254"/>
      <w:bookmarkStart w:id="184" w:name="_Toc26349"/>
      <w:bookmarkStart w:id="185" w:name="_Toc22774"/>
      <w:r>
        <w:rPr>
          <w:rFonts w:hint="eastAsia" w:ascii="黑体" w:hAnsi="黑体" w:eastAsia="黑体" w:cs="仿宋"/>
          <w:color w:val="000000" w:themeColor="text1"/>
          <w:sz w:val="32"/>
          <w:szCs w:val="32"/>
          <w:highlight w:val="none"/>
          <w14:textFill>
            <w14:solidFill>
              <w14:schemeClr w14:val="tx1"/>
            </w14:solidFill>
          </w14:textFill>
        </w:rPr>
        <w:t xml:space="preserve">第五节 </w:t>
      </w:r>
      <w:r>
        <w:rPr>
          <w:rFonts w:hint="eastAsia" w:ascii="黑体" w:hAnsi="黑体" w:eastAsia="黑体" w:cs="仿宋"/>
          <w:color w:val="000000" w:themeColor="text1"/>
          <w:sz w:val="32"/>
          <w:szCs w:val="32"/>
          <w:highlight w:val="none"/>
          <w:lang w:val="zh-CN"/>
          <w14:textFill>
            <w14:solidFill>
              <w14:schemeClr w14:val="tx1"/>
            </w14:solidFill>
          </w14:textFill>
        </w:rPr>
        <w:t>全面推进以人为核心的新型城镇化</w:t>
      </w:r>
      <w:bookmarkEnd w:id="182"/>
    </w:p>
    <w:p w14:paraId="671ABFBE">
      <w:pPr>
        <w:keepNext w:val="0"/>
        <w:keepLines w:val="0"/>
        <w:pageBreakBefore w:val="0"/>
        <w:widowControl/>
        <w:kinsoku/>
        <w:wordWrap/>
        <w:overflowPunct/>
        <w:topLinePunct w:val="0"/>
        <w:autoSpaceDE/>
        <w:autoSpaceDN/>
        <w:bidi w:val="0"/>
        <w:adjustRightInd/>
        <w:snapToGrid/>
        <w:spacing w:before="0" w:beforeAutospacing="0" w:after="0" w:afterAutospacing="0" w:line="59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实施城市更新行动，推进城市生态修复、功能完善工程，加快推进城市治理体系和治理能力现代化，使城市更健康、更安全、更宜居。加快城乡统筹发展，推动美丽乡村+城市大花园建设，围绕陆城形成连片田园综合体、城郊景观示范带等大地景观，将田园变公园，展示陆丰“城在螺河边、人在花园里”的美丽新形象。加强城镇老旧小区改造和社区建设，建立高质量城市生态系统，强化历史文化保护、塑造城市风貌，增强城市防洪排涝能力，建设海绵城市、韧性城市。坚持房子是用来住的、不是用来炒的定位，租购并举、因城施策，促进房地产市场平稳健康发展。</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0D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68B3565">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专栏9-4“五城联创”重点工程</w:t>
            </w:r>
          </w:p>
        </w:tc>
      </w:tr>
      <w:tr w14:paraId="389E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80248D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1.创建广东省县级文明城市：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开展创文“一月一主题”整治工作，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深入推进</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十大整治、十大提升”专项行动；持续推进城乡移风易俗，围绕“文明祭扫”主题活动，推进移风易俗工作，实现全市推进移风易俗工作村（社区）全覆盖；深化拓展新时代文明实践活动，在全市打造1个新时代文明实践中心、23个新时代文明实践所和335个新时代文明实践站。</w:t>
            </w:r>
          </w:p>
          <w:p w14:paraId="3F48A11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2.亮点工程：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配合</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国家园林城市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，提升城市景观档次，打造创建亮点，重点打造陆丰市乡村振兴滨海走廊示范带、陆丰市乡村振兴农业生态休闲观光示范带建设项目、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新时代市民广场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、碣石镇城市森林公园建设等亮点工程。</w:t>
            </w:r>
          </w:p>
          <w:p w14:paraId="480E7DD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3.升级改造工程：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结合城市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，打造324国道、深汕高速公路、240省道陆丰段周边山体绿化景观及瀛江、金厢碧道建设工程。</w:t>
            </w:r>
          </w:p>
          <w:p w14:paraId="2FBCC5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4.完善配套工程：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城市客厅”“城市展厅”“城市阳台”建设，以螺河为中心，向东西两岸拓展，不断扩大城区规模，完善中等城市基本框架，对接周边城市规划，实现三百米见绿、五百米见公园，推动区域、城乡统筹融合发展。</w:t>
            </w:r>
          </w:p>
          <w:p w14:paraId="667E361A">
            <w:pPr>
              <w:snapToGrid/>
              <w:spacing w:before="0" w:beforeAutospacing="0" w:after="0" w:afterAutospacing="0" w:line="400" w:lineRule="exact"/>
              <w:ind w:firstLine="562" w:firstLineChars="200"/>
              <w:jc w:val="both"/>
              <w:textAlignment w:val="baseline"/>
              <w:rPr>
                <w:rFonts w:cs="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5.市政提质工程：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统筹推进老城区改造和新城区建设，合理布局公共设施，推进路网、污水管网、停车场、公共厕所、人行道、标志牌、景观绿化建设，疏浚城市水体、治理城市内涝，完善城市功</w:t>
            </w:r>
            <w:r>
              <w:rPr>
                <w:rFonts w:hint="eastAsia" w:cs="宋体"/>
                <w:b w:val="0"/>
                <w:i w:val="0"/>
                <w:caps w:val="0"/>
                <w:color w:val="000000" w:themeColor="text1"/>
                <w:spacing w:val="0"/>
                <w:w w:val="100"/>
                <w:sz w:val="28"/>
                <w:szCs w:val="28"/>
                <w:highlight w:val="none"/>
                <w:u w:val="none" w:color="auto"/>
                <w14:textFill>
                  <w14:solidFill>
                    <w14:schemeClr w14:val="tx1"/>
                  </w14:solidFill>
                </w14:textFill>
              </w:rPr>
              <w:t>能。</w:t>
            </w:r>
          </w:p>
          <w:p w14:paraId="13734DBD">
            <w:pPr>
              <w:snapToGrid/>
              <w:spacing w:before="0" w:beforeAutospacing="0" w:after="0" w:afterAutospacing="0" w:line="400" w:lineRule="exact"/>
              <w:ind w:firstLine="562" w:firstLineChars="200"/>
              <w:jc w:val="both"/>
              <w:textAlignment w:val="baseline"/>
              <w:rPr>
                <w:rFonts w:hint="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cs="宋体"/>
                <w:b/>
                <w:bCs/>
                <w:i w:val="0"/>
                <w:caps w:val="0"/>
                <w:color w:val="000000" w:themeColor="text1"/>
                <w:spacing w:val="0"/>
                <w:w w:val="100"/>
                <w:sz w:val="28"/>
                <w:szCs w:val="28"/>
                <w:highlight w:val="none"/>
                <w:u w:val="none" w:color="auto"/>
                <w14:textFill>
                  <w14:solidFill>
                    <w14:schemeClr w14:val="tx1"/>
                  </w14:solidFill>
                </w14:textFill>
              </w:rPr>
              <w:t>6.协调完善工程：</w:t>
            </w:r>
            <w:r>
              <w:rPr>
                <w:rFonts w:hint="eastAsia" w:cs="宋体"/>
                <w:b w:val="0"/>
                <w:i w:val="0"/>
                <w:caps w:val="0"/>
                <w:color w:val="000000" w:themeColor="text1"/>
                <w:spacing w:val="0"/>
                <w:w w:val="100"/>
                <w:sz w:val="28"/>
                <w:szCs w:val="28"/>
                <w:highlight w:val="none"/>
                <w:u w:val="none" w:color="auto"/>
                <w14:textFill>
                  <w14:solidFill>
                    <w14:schemeClr w14:val="tx1"/>
                  </w14:solidFill>
                </w14:textFill>
              </w:rPr>
              <w:t>实施玉照市民康娱广场升级改造工程</w:t>
            </w:r>
            <w:r>
              <w:rPr>
                <w:rFonts w:hint="eastAsia" w:cs="宋体"/>
                <w:b w:val="0"/>
                <w:i w:val="0"/>
                <w:caps w:val="0"/>
                <w:color w:val="000000" w:themeColor="text1"/>
                <w:spacing w:val="0"/>
                <w:w w:val="100"/>
                <w:sz w:val="28"/>
                <w:szCs w:val="28"/>
                <w:highlight w:val="none"/>
                <w:u w:val="none" w:color="auto"/>
                <w:lang w:eastAsia="zh-CN"/>
                <w14:textFill>
                  <w14:solidFill>
                    <w14:schemeClr w14:val="tx1"/>
                  </w14:solidFill>
                </w14:textFill>
              </w:rPr>
              <w:t>。</w:t>
            </w:r>
          </w:p>
        </w:tc>
      </w:tr>
    </w:tbl>
    <w:p w14:paraId="2CE42F5F">
      <w:pPr>
        <w:adjustRightInd w:val="0"/>
        <w:snapToGrid w:val="0"/>
        <w:spacing w:line="300" w:lineRule="exact"/>
        <w:jc w:val="both"/>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p>
    <w:p w14:paraId="41238D81">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86" w:name="_Toc1349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第十章 夯实文化事业和文化产业基础，不断满足人民文化需求</w:t>
      </w:r>
      <w:bookmarkEnd w:id="186"/>
    </w:p>
    <w:p w14:paraId="34412679">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以满足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人民群众文化需求为引导，推动文化设施补短板，促进文化体制机制创新完善，引导全市文化事业产业高质量发展。激发文化创新创造活力，打造一批特色的文艺作品，不断提高陆丰文化影响力，推动我市文化繁荣兴盛。</w:t>
      </w:r>
    </w:p>
    <w:p w14:paraId="381A3C9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7" w:name="_Toc5267"/>
      <w:r>
        <w:rPr>
          <w:rFonts w:hint="eastAsia" w:ascii="黑体" w:hAnsi="黑体" w:eastAsia="黑体" w:cs="仿宋"/>
          <w:color w:val="000000" w:themeColor="text1"/>
          <w:sz w:val="32"/>
          <w:szCs w:val="32"/>
          <w:highlight w:val="none"/>
          <w14:textFill>
            <w14:solidFill>
              <w14:schemeClr w14:val="tx1"/>
            </w14:solidFill>
          </w14:textFill>
        </w:rPr>
        <w:t>第一节 全面加强意识形态工作</w:t>
      </w:r>
      <w:bookmarkEnd w:id="187"/>
    </w:p>
    <w:p w14:paraId="3CA0C1A0">
      <w:pPr>
        <w:widowControl/>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马克思主义在意识形态领域的指导地位，严格落实意识形态工作责任制。深化党的创新理论学习教育，推动学习贯彻习近平新时代中国特色社会主义思想常态化制度化。健全重大舆情和突发事件舆论引导机制，强化网络意识形态阵地建设和管理，建立健全网络政治安全监测预警、网上突发热点敏感舆情管控机制，持续净化网络环境。加强网络内容建设，加强主流媒体传播力、公信力、影响力和舆论能力建设，唱响主旋律，传播正能量。加强关键信息基础设施保护，推进党政机关互联网安全工程建设，落实网络安全认证认可、网络产品和服务安全审查等规定。完善网络安全事件应急预案，建立全市网络安全应急指挥体系。推进传统媒体和新兴媒体深度融合发展，占领意识形态制高点，牢牢守住意识形态“南大门”。</w:t>
      </w:r>
    </w:p>
    <w:p w14:paraId="628C78B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8" w:name="_Toc15592"/>
      <w:r>
        <w:rPr>
          <w:rFonts w:hint="eastAsia" w:ascii="黑体" w:hAnsi="黑体" w:eastAsia="黑体" w:cs="仿宋"/>
          <w:color w:val="000000" w:themeColor="text1"/>
          <w:sz w:val="32"/>
          <w:szCs w:val="32"/>
          <w:highlight w:val="none"/>
          <w14:textFill>
            <w14:solidFill>
              <w14:schemeClr w14:val="tx1"/>
            </w14:solidFill>
          </w14:textFill>
        </w:rPr>
        <w:t>第二节 加快提高社会文明程度</w:t>
      </w:r>
      <w:bookmarkEnd w:id="188"/>
    </w:p>
    <w:p w14:paraId="7B3B9AF1">
      <w:pPr>
        <w:widowControl/>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——持续培育和践行社会主义核心价值观。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以文化人”，打造陆丰“善文化”内核和标识，坚持以法治和德治相结合推进城乡移风易俗，争创全国文明城市提名城市，形成适应新时代要求的思想观念、精神面貌、文明风尚、行为规范。推动理想信念教育常态化制度化，加强党史、新中国史、改革开放史、社会主义发展史、海陆丰革命史教育，加强爱国主义、集体主义、社会主义教育，大力弘扬民族精神、时代精神和海陆丰革命老区精神，推进公民道德建设特别是未成年人思想道德建设，实施文明创建工程，拓展新时代文明实践中心建设。弘扬诚信文化，推进诚信建设。提倡艰苦奋斗、勤俭节约，开展以劳动创造幸福为主题的宣传教育。加强家庭、家教、家风建设。加强网络文明建设，发展积极健康的网络文化。加强志愿服务体系建设，健全志愿服务常态化、多元化、专业化制度，让志愿服务成为一道靓丽风景线。</w:t>
      </w:r>
    </w:p>
    <w:p w14:paraId="633B0EA9">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——全力推进“创文”“创卫”工作。</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以创建国家级卫生县城和省级文明城市为目标，持续推进“十大整治、十大提升”行动，全面提升城市环境品质。推进干线公路、背街小巷、集贸市场卫生环境整治，严厉打击违法建设，大力整治交通秩序提升城市公共文明水平。继续推进美化绿化亮化工程，加强城市建筑外立面管理。加大宣传力度，增强市民文明意识，全民携手，共创文明，实现创建省文明城市目标。</w:t>
      </w:r>
    </w:p>
    <w:p w14:paraId="2F1E7D2A">
      <w:pPr>
        <w:adjustRightInd w:val="0"/>
        <w:snapToGrid w:val="0"/>
        <w:spacing w:line="6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9" w:name="_Toc1982"/>
      <w:r>
        <w:rPr>
          <w:rFonts w:hint="eastAsia" w:ascii="黑体" w:hAnsi="黑体" w:eastAsia="黑体" w:cs="仿宋"/>
          <w:color w:val="000000" w:themeColor="text1"/>
          <w:sz w:val="32"/>
          <w:szCs w:val="32"/>
          <w:highlight w:val="none"/>
          <w14:textFill>
            <w14:solidFill>
              <w14:schemeClr w14:val="tx1"/>
            </w14:solidFill>
          </w14:textFill>
        </w:rPr>
        <w:t>第三节 深入挖掘和保护红色文化</w:t>
      </w:r>
      <w:bookmarkEnd w:id="189"/>
    </w:p>
    <w:p w14:paraId="77227900">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——挖掘提升陆丰红色文化内涵和品位。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依托我市独特的红色资源，响应汕尾“红色农运摇篮”的号召，加强对红色文化历史的深度研究和精神价值的挖掘提炼，提炼和丰富海陆丰革命历史精神和内容，形成陆丰革命精神，激励现代社会正能量的发展。加快整合我市各红色旅游资源，全市各地加大投入完善配套红色旅游点，鼓励有条件的红色旅游点如金厢下埔村创建国家A级景区，提高拟打造旅游线路的文化内涵与吸引力，全力推进陆丰红色旅游的发展，进一步提升陆丰红色旅游的影响力，擦亮陆丰红色旅游品牌。</w:t>
      </w:r>
    </w:p>
    <w:p w14:paraId="6546B47D">
      <w:pPr>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——强化红色资源开发力度。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深度开发周恩来养病旧址、虎洞藏身处、渡海处、陆丰农会旧址、碣石红二师作战指挥旧址、龙山烈士陵园等红色旅游资源，深度开发遗址遗迹、红色基因培育等项目，建成粤东滨海爱国主义教育与体验基地，并</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海丰红宫、红场形成联动。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加大107处红色革命遗址保护和修复，重点加大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龙山烈士陵园、陆丰六驿总农会旧址、潭涌七乡点农会旧址、张威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、洗鱼溪烈士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、八万红色交通站等基础</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条件较好的红色历史遗址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，进一步修缮提升</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品质，重点推进陆丰市107个红色革命遗址修缮修复项目</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陂洋镇芹菜洋-八万镇割窝红军烈士遗址、八万镇红军纪念广场、东纵红六团成立旧址、河西镇交通站等基础较差</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前期投入。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积极打造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红色系列旅游产品</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突出滨海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风格</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特点</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串珠成线，推动建设南昌起义部队（领导人转移史）、南昌起义军部队转移和农会斗争史（陆丰党组织和农会组织）三个红色革命路线。</w:t>
      </w:r>
    </w:p>
    <w:p w14:paraId="5C325043">
      <w:pPr>
        <w:pStyle w:val="2"/>
        <w:rPr>
          <w:rFonts w:hint="eastAsia"/>
          <w:color w:val="000000" w:themeColor="text1"/>
          <w:highlight w:val="none"/>
          <w14:textFill>
            <w14:solidFill>
              <w14:schemeClr w14:val="tx1"/>
            </w14:solidFill>
          </w14:textFill>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1CF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7149AAA">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专栏10-1：弘扬红色文化重点工程</w:t>
            </w:r>
          </w:p>
        </w:tc>
      </w:tr>
      <w:tr w14:paraId="18CC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ABB72AB">
            <w:pPr>
              <w:spacing w:line="400" w:lineRule="exact"/>
              <w:ind w:firstLine="562" w:firstLineChars="200"/>
              <w:rPr>
                <w:rFonts w:hint="eastAsia" w:ascii="宋体" w:hAnsi="宋体" w:eastAsiaTheme="minorEastAsia" w:cstheme="minorBidi"/>
                <w:color w:val="000000" w:themeColor="text1"/>
                <w:sz w:val="28"/>
                <w:szCs w:val="28"/>
                <w:highlight w:val="none"/>
                <w14:textFill>
                  <w14:solidFill>
                    <w14:schemeClr w14:val="tx1"/>
                  </w14:solidFill>
                </w14:textFill>
              </w:rPr>
            </w:pPr>
            <w:r>
              <w:rPr>
                <w:rFonts w:hint="eastAsia" w:ascii="宋体" w:hAnsi="宋体" w:eastAsiaTheme="minorEastAsia" w:cstheme="minorBidi"/>
                <w:b/>
                <w:bCs/>
                <w:color w:val="000000" w:themeColor="text1"/>
                <w:sz w:val="28"/>
                <w:szCs w:val="28"/>
                <w:highlight w:val="none"/>
                <w14:textFill>
                  <w14:solidFill>
                    <w14:schemeClr w14:val="tx1"/>
                  </w14:solidFill>
                </w14:textFill>
              </w:rPr>
              <w:t>1.红色文物抢救、整理、保护和维修：</w:t>
            </w:r>
            <w:r>
              <w:rPr>
                <w:rFonts w:hint="eastAsia" w:ascii="宋体" w:hAnsi="宋体" w:eastAsiaTheme="minorEastAsia" w:cstheme="minorBidi"/>
                <w:color w:val="000000" w:themeColor="text1"/>
                <w:sz w:val="28"/>
                <w:szCs w:val="28"/>
                <w:highlight w:val="none"/>
                <w14:textFill>
                  <w14:solidFill>
                    <w14:schemeClr w14:val="tx1"/>
                  </w14:solidFill>
                </w14:textFill>
              </w:rPr>
              <w:t>周恩来革命活动旧址、陆丰苏维埃政权成立大会会址、红二师碣石作战指挥部旧址、张威纪念亭、陆丰县总农会成立旧址等红色革命旧址的修缮保护</w:t>
            </w:r>
            <w:r>
              <w:rPr>
                <w:rFonts w:hint="eastAsia" w:ascii="宋体" w:hAnsi="宋体" w:eastAsiaTheme="minorEastAsia" w:cstheme="minorBidi"/>
                <w:color w:val="000000" w:themeColor="text1"/>
                <w:sz w:val="28"/>
                <w:szCs w:val="28"/>
                <w:highlight w:val="none"/>
                <w:lang w:eastAsia="zh-CN"/>
                <w14:textFill>
                  <w14:solidFill>
                    <w14:schemeClr w14:val="tx1"/>
                  </w14:solidFill>
                </w14:textFill>
              </w:rPr>
              <w:t>，推进陆丰市107个红色革命遗址修缮修复项目</w:t>
            </w:r>
            <w:r>
              <w:rPr>
                <w:rFonts w:hint="eastAsia" w:ascii="宋体" w:hAnsi="宋体" w:eastAsiaTheme="minorEastAsia" w:cstheme="minorBidi"/>
                <w:color w:val="000000" w:themeColor="text1"/>
                <w:sz w:val="28"/>
                <w:szCs w:val="28"/>
                <w:highlight w:val="none"/>
                <w14:textFill>
                  <w14:solidFill>
                    <w14:schemeClr w14:val="tx1"/>
                  </w14:solidFill>
                </w14:textFill>
              </w:rPr>
              <w:t>。</w:t>
            </w:r>
          </w:p>
          <w:p w14:paraId="2089C20C">
            <w:pPr>
              <w:spacing w:line="400" w:lineRule="exact"/>
              <w:ind w:firstLine="562" w:firstLineChars="200"/>
              <w:rPr>
                <w:rFonts w:hint="eastAsia" w:ascii="宋体" w:hAnsi="宋体" w:eastAsiaTheme="minorEastAsia" w:cstheme="minorBidi"/>
                <w:color w:val="000000" w:themeColor="text1"/>
                <w:sz w:val="28"/>
                <w:szCs w:val="28"/>
                <w:highlight w:val="none"/>
                <w14:textFill>
                  <w14:solidFill>
                    <w14:schemeClr w14:val="tx1"/>
                  </w14:solidFill>
                </w14:textFill>
              </w:rPr>
            </w:pPr>
            <w:r>
              <w:rPr>
                <w:rFonts w:hint="eastAsia" w:ascii="宋体" w:hAnsi="宋体" w:eastAsiaTheme="minorEastAsia" w:cstheme="minorBidi"/>
                <w:b/>
                <w:bCs/>
                <w:color w:val="000000" w:themeColor="text1"/>
                <w:sz w:val="28"/>
                <w:szCs w:val="28"/>
                <w:highlight w:val="none"/>
                <w14:textFill>
                  <w14:solidFill>
                    <w14:schemeClr w14:val="tx1"/>
                  </w14:solidFill>
                </w14:textFill>
              </w:rPr>
              <w:t>2.红色文化旅游整合发展：</w:t>
            </w:r>
            <w:r>
              <w:rPr>
                <w:rFonts w:hint="eastAsia" w:ascii="宋体" w:hAnsi="宋体" w:eastAsiaTheme="minorEastAsia" w:cstheme="minorBidi"/>
                <w:color w:val="000000" w:themeColor="text1"/>
                <w:sz w:val="28"/>
                <w:szCs w:val="28"/>
                <w:highlight w:val="none"/>
                <w14:textFill>
                  <w14:solidFill>
                    <w14:schemeClr w14:val="tx1"/>
                  </w14:solidFill>
                </w14:textFill>
              </w:rPr>
              <w:t>完善和配套乡村休闲旅游配套设施，把红色村打造成为红色文化旅游景区。加大维护修缮力度，拓展古驿道文旅路线。</w:t>
            </w:r>
          </w:p>
          <w:p w14:paraId="091FA0FE">
            <w:pPr>
              <w:spacing w:line="400" w:lineRule="exact"/>
              <w:ind w:firstLine="562" w:firstLineChars="200"/>
              <w:rPr>
                <w:rFonts w:hint="eastAsia" w:ascii="宋体" w:hAnsi="宋体" w:eastAsiaTheme="minorEastAsia" w:cstheme="minorBidi"/>
                <w:b/>
                <w:bCs/>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b/>
                <w:bCs/>
                <w:color w:val="000000" w:themeColor="text1"/>
                <w:sz w:val="28"/>
                <w:szCs w:val="28"/>
                <w:highlight w:val="none"/>
                <w:lang w:val="en-US" w:eastAsia="zh-CN"/>
                <w14:textFill>
                  <w14:solidFill>
                    <w14:schemeClr w14:val="tx1"/>
                  </w14:solidFill>
                </w14:textFill>
              </w:rPr>
              <w:t>3.三条红色革命路线:</w:t>
            </w:r>
          </w:p>
          <w:p w14:paraId="01ACB1E0">
            <w:pPr>
              <w:spacing w:line="400" w:lineRule="exact"/>
              <w:ind w:firstLine="560" w:firstLineChars="200"/>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南昌起义部队路线（领导人转移史）：甲子一湖东一南塘（碣石）—金厢一桥冲。</w:t>
            </w:r>
          </w:p>
          <w:p w14:paraId="31630BD4">
            <w:pPr>
              <w:spacing w:line="400" w:lineRule="exact"/>
              <w:ind w:firstLine="560" w:firstLineChars="200"/>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农会斗争史路线（陆丰党组织和农会组织）：东海一潭西一上英一河西一城东。</w:t>
            </w:r>
          </w:p>
          <w:p w14:paraId="5D9FB3A9">
            <w:pPr>
              <w:spacing w:line="400" w:lineRule="exact"/>
              <w:ind w:firstLine="560" w:firstLineChars="200"/>
              <w:rPr>
                <w:color w:val="000000" w:themeColor="text1"/>
                <w:highlight w:val="none"/>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南昌起义军部队转移路线：陂洋一内湖一南塘一河东一大安。</w:t>
            </w:r>
          </w:p>
        </w:tc>
      </w:tr>
    </w:tbl>
    <w:p w14:paraId="1936F6B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0" w:name="_Toc18602"/>
      <w:r>
        <w:rPr>
          <w:rFonts w:hint="eastAsia" w:ascii="黑体" w:hAnsi="黑体" w:eastAsia="黑体" w:cs="仿宋"/>
          <w:color w:val="000000" w:themeColor="text1"/>
          <w:sz w:val="32"/>
          <w:szCs w:val="32"/>
          <w:highlight w:val="none"/>
          <w14:textFill>
            <w14:solidFill>
              <w14:schemeClr w14:val="tx1"/>
            </w14:solidFill>
          </w14:textFill>
        </w:rPr>
        <w:t>第四节 传承优秀传统文化</w:t>
      </w:r>
      <w:bookmarkEnd w:id="190"/>
    </w:p>
    <w:p w14:paraId="5454E3F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——进一步挖掘和传承陆丰作为</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岭南</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文化</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、客家</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文化</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、潮汕文化</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等多元文化交融的优势，强化传统文化对社会稳定经济发展的支撑作用。</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进一步发扬陆丰的传统</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建筑风格</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语言，</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强化海内外陆丰文化的认同。加强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正字戏、皮影戏、英歌舞等非遗特产</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传承与弘扬，加入新时代的核心价值观，融入陆丰的特色。</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进一步推动对传统文化的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移风易俗，</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落实</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殡葬</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改革工</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作</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红白喜事简约化</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办理。</w:t>
      </w:r>
    </w:p>
    <w:p w14:paraId="1013EDD6">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——促进</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乡村振兴与文旅结合，</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打造富有陆丰文化特色的</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圣诞礼品、贝雕等文旅产品。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依托陆丰丰富的非物质文化遗产资源与传统文化特征，大力发展文旅产业，推</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动</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安滚地金龙、甲子英歌舞、碣石五色狮、南塘吹打乐、博美飘色等传统民间艺术，建设陆丰渔民文化、福佬文化、客家文化等多元文化展示与体验基地，推进恢复重建碣石观海、甲子吞潮、乌坎归帆等“陆丰八景”，打造陆丰特色文旅IP，培育旅游发展新业态。</w:t>
      </w:r>
    </w:p>
    <w:p w14:paraId="53283FE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1" w:name="_Toc6864"/>
      <w:r>
        <w:rPr>
          <w:rFonts w:hint="eastAsia" w:ascii="黑体" w:hAnsi="黑体" w:eastAsia="黑体" w:cs="仿宋"/>
          <w:color w:val="000000" w:themeColor="text1"/>
          <w:sz w:val="32"/>
          <w:szCs w:val="32"/>
          <w:highlight w:val="none"/>
          <w14:textFill>
            <w14:solidFill>
              <w14:schemeClr w14:val="tx1"/>
            </w14:solidFill>
          </w14:textFill>
        </w:rPr>
        <w:t>第五节 提升公共文化服务水平</w:t>
      </w:r>
      <w:bookmarkEnd w:id="191"/>
    </w:p>
    <w:p w14:paraId="7598B83C">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——深入实施文化体育惠民工程。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文化馆、图书馆、美术馆和体育馆、游泳池等文化旅游及体育设施建设，争取实现陆丰市所有镇（区）文化馆图书馆分馆全覆盖。加快县级图书馆文化馆总分馆制建设和理事会制度建设，全面完善县、乡镇、村（社区）三级公共文化服务体系建设。推动公共文化服务进景区，构建主客共享的文化和旅游新空间。</w:t>
      </w:r>
    </w:p>
    <w:p w14:paraId="79951A55">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——推动全市公共服务体系建设。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三馆”公共文化服务体系建设，促进图书馆、文化馆数字化发展；推进基层文化站、综合性文化中心改造升级，争取全市乡镇文化站全部达到省二级站标准；依托皮影动漫文化产业基地创新推广正字戏、皮影戏、滚地金龙和甲子英歌等国家级非物质文化遗产。完善全民健身公共服务体系，新建文化体育活动中心，加大市体育馆、游泳池的配套设施投入，推进市人民体育场升级改造工程建设，推进健身路径在乡村的全面普及，进一步推动全民健身基本国策，促进儿童、青少年等重点人群体育发展。加强体育交流协作共建，积极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城市进行赛事交流和体育联合办学，谋划发展民营体校，通过体教融合充分挖掘体校功能，普及体育运动，补齐体育健康事业发展短板。着力促进陆丰足球与手球项目做大做强，推动产业化发展，打造陆丰足球与陆丰手球特色新名片。</w:t>
      </w:r>
    </w:p>
    <w:p w14:paraId="40742A0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——打造</w:t>
      </w:r>
      <w:r>
        <w:rPr>
          <w:rFonts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阵地服务、流动服务和数字服务有机结合的新型服务模式</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广泛采用现代信息技术提升文体服务能力，通过“互联网</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+”与“文化+”的互动共进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推出全市公共图书馆、博物馆、文化馆系列的视频类资源，推动智慧场馆（站）建设，建立文体场馆向社会开放和全民健身活动信息发布与管理平台。强化文化队伍建设，广泛开展各种文体活动。加强红色文化、非遗保护传承利用，擦亮陆丰“中国民间文化艺术之乡”品牌。提升</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鼓励现实题材文艺作品创作，抓好融媒体建设，做好地方志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档案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老年教育等方面工作。</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E6F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2790A68">
            <w:pPr>
              <w:pStyle w:val="6"/>
              <w:snapToGrid/>
              <w:spacing w:before="0" w:beforeAutospacing="0" w:after="0" w:afterAutospacing="0" w:line="400" w:lineRule="exact"/>
              <w:ind w:firstLine="0"/>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10-2</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：文旅体设施建设重点工程</w:t>
            </w:r>
          </w:p>
        </w:tc>
      </w:tr>
      <w:tr w14:paraId="050C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04C96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1.文化公共设施建设：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建设市数字文化馆、数字图书馆，利用数字化技术手段接入“文化在线”广东公共数字文化联盟平台，实现与大湾区各市文化馆、图书馆资源共享。</w:t>
            </w:r>
          </w:p>
          <w:p w14:paraId="1B70071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2.旅游信息化建设：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加快构建集数字景区、电子商务、数字化营销等在内的数字旅游系统，提升旅游信息服务水平，推进交通、公安、商务、旅游等涉旅信息共享，推进无线WiFi</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覆盖，建设全市旅游数据中心，提升旅游公共服务、市场营销、行业管理智能化水平。</w:t>
            </w:r>
          </w:p>
          <w:p w14:paraId="547F041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3.文旅大数据智慧化平台建设：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为公众提供全市旅游信息查询和指引，为全市文旅企业开展门票在线预订、电子讲解、智能导游、承载量监测等智能化运用。</w:t>
            </w:r>
          </w:p>
          <w:p w14:paraId="443CD14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4.体育场馆建设：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建设一个文化体育活动中心（包含体育馆、足球场、田径场、篮球场、乒乓球场、文化广场、展览馆等）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争取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全市四个中心镇至少有一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个</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11人制的足球场，各镇、场区至少有一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个</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7（8）人制的足球场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及相应</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配套设施，满足人民群众强身健体的需求。加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快</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市体育馆、游泳池的配套设施投入、市人民体育场升级改造工程建设；引进职业体育俱乐部举行高端赛事，谋划市青少年业余体育学校选址建设。</w:t>
            </w:r>
          </w:p>
          <w:p w14:paraId="334471E6">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5.陆丰手球项目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谋划于金厢镇建设汕尾市手球训练及比赛场馆，力争全省的沙滩手球赛落户我市举办。</w:t>
            </w:r>
          </w:p>
          <w:p w14:paraId="500BEB5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6.陆丰足球项目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借助</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“省足球试点县区”称号及全省青少年足球锦标赛或省长杯等赛事在我市睿荣足球训练基地举办的影响力。设立市长杯足球赛、陆丰市足球联赛等官方赛事。</w:t>
            </w:r>
          </w:p>
        </w:tc>
      </w:tr>
    </w:tbl>
    <w:p w14:paraId="3F69722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2" w:name="_Toc14863"/>
      <w:r>
        <w:rPr>
          <w:rFonts w:hint="eastAsia" w:ascii="黑体" w:hAnsi="黑体" w:eastAsia="黑体" w:cs="仿宋"/>
          <w:color w:val="000000" w:themeColor="text1"/>
          <w:sz w:val="32"/>
          <w:szCs w:val="32"/>
          <w:highlight w:val="none"/>
          <w14:textFill>
            <w14:solidFill>
              <w14:schemeClr w14:val="tx1"/>
            </w14:solidFill>
          </w14:textFill>
        </w:rPr>
        <w:t>第六节 发展特色文化产业</w:t>
      </w:r>
      <w:bookmarkEnd w:id="192"/>
    </w:p>
    <w:p w14:paraId="1F9A150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坚持“以文兴业”，把社会效益放在首位、社会效益和经济效益相统一，完善文化产业规划，加强文化市场体系建设，扩大具有</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传统文化元素的文化产品供给。深化文化体制改革，推进正字戏剧团、白字戏剧团加快改革，激发剧团内部活力。实施文化产业数字化战略，推动陆丰碣石麦秆画、碣石木雕、甲子贝雕、捷胜泥塑等传统特色文化产业转型升级。规划建设文化产业园区，推动文化和旅游融合发展，发展酒店、民宿经济，创建一批国家级、省级旅游度假区，将陆丰打造成为中国滨海休闲旅游最佳目的地之一。</w:t>
      </w:r>
    </w:p>
    <w:p w14:paraId="2F7F1221">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193" w:name="_Toc2404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第十一章 </w:t>
      </w:r>
      <w:bookmarkEnd w:id="18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扎实推进生态文明建设，走好绿色发展之路</w:t>
      </w:r>
      <w:bookmarkEnd w:id="184"/>
      <w:bookmarkEnd w:id="185"/>
      <w:bookmarkEnd w:id="193"/>
    </w:p>
    <w:p w14:paraId="1B671408">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深入</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贯彻习近平生态文明思想，坚持绿水青山就是金山银山理念，深入实施可持续发展战略，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打造“一带两屏三廊多点”的全域生态大格局，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力争到2025年，全市大气和水生态环境质量持续改善，土壤污染等环境风险得到有效管控，主要污染物排放总量持续下降，生态系统安全稳步提高，绿色生产和绿色生活水平明显提升，生态环境治理体系和治理能力现代化水平明显增强，切实扛起把汕尾建设为沿海经济带靓丽明珠的陆丰担当。</w:t>
      </w:r>
    </w:p>
    <w:p w14:paraId="451FE47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4" w:name="_Toc13466"/>
      <w:bookmarkStart w:id="195" w:name="_Toc9163"/>
      <w:bookmarkStart w:id="196" w:name="_Toc23495"/>
      <w:bookmarkStart w:id="197" w:name="_Toc25958"/>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194"/>
      <w:r>
        <w:rPr>
          <w:rFonts w:hint="eastAsia" w:ascii="黑体" w:hAnsi="黑体" w:eastAsia="黑体" w:cs="仿宋"/>
          <w:color w:val="000000" w:themeColor="text1"/>
          <w:sz w:val="32"/>
          <w:szCs w:val="32"/>
          <w:highlight w:val="none"/>
          <w14:textFill>
            <w14:solidFill>
              <w14:schemeClr w14:val="tx1"/>
            </w14:solidFill>
          </w14:textFill>
        </w:rPr>
        <w:t>加快推动绿色低碳循环发展</w:t>
      </w:r>
      <w:bookmarkEnd w:id="195"/>
      <w:bookmarkEnd w:id="196"/>
      <w:bookmarkEnd w:id="197"/>
    </w:p>
    <w:p w14:paraId="15C33AC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通过推动绿色低碳循环发展，完成</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二氧化碳排放力争于2030年前达到峰值，力争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落实国家省市的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碳中和</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目标</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3401652E">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——积极践行“两山”理论，</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产业</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绿色化发展</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积极引导低投入、低消耗、低排放和高效率的现代产业发展，引导新型产业链战略性布局。持续淘汰落后产能，加快工业园区生态化改造，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推进园区工业用地“标准地”建设，推动资源向优势企业、优势区域集聚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。建立健全绿色低碳循环发展的经济体系，推进能源生产和消费革命，构建清洁低碳、安全高效的能源体系。推进资源全面节约和循环利用，继续降低重点行业和企业能耗、物耗。</w:t>
      </w:r>
    </w:p>
    <w:p w14:paraId="25D0550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——推进经济高质量发展和生态环境高水平保护。</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推进生态环境治理与生态旅游、休闲康养等产业融合发展，形成节约资源和保护环境的空间布局、产业结构和生产生活方式。发展绿色建筑，推动能源清洁低碳安全高效利用。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严格生态环境准入，以环评审批的正面清单引导项目布局和落地。结合广东沿海经济带战略规划，构建以排污许可证制度为核心的固定源环境管理制度。进一步推进和完善市场化环境管理手段，充分发挥市场手段在环境保护工作中的作用。</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13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45824CC">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专栏11-1 打造“一带两屏三廊多点”全域生态格局</w:t>
            </w:r>
          </w:p>
        </w:tc>
      </w:tr>
      <w:tr w14:paraId="7DAB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14E7FF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一带：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沿海蓝色生态保护带。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主要为陆丰岸线及沿海城镇构成。</w:t>
            </w:r>
          </w:p>
          <w:p w14:paraId="51FD618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两屏：</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西部山林生态安全屏障”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北部山林生态安全屏障”。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西部山林生态安全屏障”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主要为河西镇、西南镇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5EBBBA3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三廊：</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分别为沿着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螺河、乌坎河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瀛江-鳌江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构成的生态廊道，即</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螺河生态廊道、乌坎河生态廊道、瀛江-鳌江生态廊道”。</w:t>
            </w:r>
          </w:p>
          <w:p w14:paraId="11A17A6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多节点：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加强对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重要河湖水库、入海口</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自然保护地等节点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的生态保护，重点加强螺河入海口、乌坎河入海口、瀛河入海口及金厢自然保护地等节点的保护。</w:t>
            </w:r>
          </w:p>
        </w:tc>
      </w:tr>
    </w:tbl>
    <w:p w14:paraId="130C19C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8" w:name="_Toc14809"/>
      <w:bookmarkStart w:id="199" w:name="_Toc3651"/>
      <w:bookmarkStart w:id="200" w:name="_Toc29101"/>
      <w:bookmarkStart w:id="201" w:name="_Toc19944"/>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98"/>
      <w:r>
        <w:rPr>
          <w:rFonts w:hint="eastAsia" w:ascii="黑体" w:hAnsi="黑体" w:eastAsia="黑体" w:cs="仿宋"/>
          <w:color w:val="000000" w:themeColor="text1"/>
          <w:sz w:val="32"/>
          <w:szCs w:val="32"/>
          <w:highlight w:val="none"/>
          <w14:textFill>
            <w14:solidFill>
              <w14:schemeClr w14:val="tx1"/>
            </w14:solidFill>
          </w14:textFill>
        </w:rPr>
        <w:t>全面强化生态环境治理</w:t>
      </w:r>
      <w:bookmarkEnd w:id="199"/>
      <w:bookmarkEnd w:id="200"/>
      <w:bookmarkEnd w:id="201"/>
    </w:p>
    <w:p w14:paraId="64D8B8AD">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——“三水统筹”提升水生态环境质量。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饮用水水源安全为重点，持续强化水源地保护；以国考断面水质达标为重点，强化乌坎河和东溪河流域污染攻坚治理；以企业和工业集聚区为重点，实施工业污染源全面达标排放计划；以补足城镇污水收集和处理设施短板为重点，持续推进生活源污染治理；以降低氮磷负荷为重点，持续推进农业源污染治理。加强水资源保障，开展水生态保护修复，加强水环境风险防控，持续推进黑臭水体治理和地下水污染防治。</w:t>
      </w:r>
    </w:p>
    <w:p w14:paraId="2AF10607">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——精准施策改善大气环境质量。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聚焦PM2.5和臭氧的协同控制、NOx和VOCs的协同减排，推进产业结构、能源结构、运输结构、用地结构的持续优化；持续推进重点行业清洁生产水平提升，严格控制机动车排气污染，持续整治“散乱污”企业，禁止露天焚烧秸秆等烟尘污染，强化扬尘治理，强制项目建设工地设置出场降尘设施，切实降低大气污染，提高空气质量。</w:t>
      </w:r>
    </w:p>
    <w:p w14:paraId="3AD7E6C6">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——切实保障土壤环境质量安全。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精准开展农用地土壤污染源头管控和安全利用；以建设用地土壤污染风险管控和修复名录为核心，防控重点区域、重点行业、典型地块污染风险。建立高风险地块清单，实施污染地块风险管控和修复。以土壤污染问题突出区为重点，实施重点行业污染源治理。</w:t>
      </w:r>
    </w:p>
    <w:p w14:paraId="6080407E">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——持续推进农业农村污染防治。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科学控制畜牧、水产养殖污染，从源头上合理规范畜禽养殖布局和规模，推进秸秆等农业废弃物综合利用，促进农药化肥减量增效，源头减少氮磷排放。统筹推进农村饮用水水源地规范化建设、农村生活污水治理和农村黑臭水体排查示范整治，加快推进“厕所革命”、垃圾分类等工作，压实农村生态环境监管责任，从制度层面提升村民参与环境整治的内生动力。</w:t>
      </w:r>
    </w:p>
    <w:p w14:paraId="3162694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02" w:name="_Toc13971"/>
      <w:bookmarkStart w:id="203" w:name="_Toc1174"/>
      <w:bookmarkStart w:id="204" w:name="_Toc8349"/>
      <w:bookmarkStart w:id="205" w:name="_Toc20252"/>
      <w:r>
        <w:rPr>
          <w:rFonts w:hint="eastAsia" w:ascii="黑体" w:hAnsi="黑体" w:eastAsia="黑体" w:cs="仿宋"/>
          <w:color w:val="000000" w:themeColor="text1"/>
          <w:sz w:val="32"/>
          <w:szCs w:val="32"/>
          <w:highlight w:val="none"/>
          <w14:textFill>
            <w14:solidFill>
              <w14:schemeClr w14:val="tx1"/>
            </w14:solidFill>
          </w14:textFill>
        </w:rPr>
        <w:t>第三节 构建生态环境保护体系，</w:t>
      </w:r>
      <w:r>
        <w:rPr>
          <w:rFonts w:hint="eastAsia" w:ascii="黑体" w:hAnsi="黑体" w:eastAsia="黑体" w:cs="仿宋"/>
          <w:color w:val="000000" w:themeColor="text1"/>
          <w:sz w:val="32"/>
          <w:szCs w:val="32"/>
          <w:highlight w:val="none"/>
          <w:lang w:val="zh-CN"/>
          <w14:textFill>
            <w14:solidFill>
              <w14:schemeClr w14:val="tx1"/>
            </w14:solidFill>
          </w14:textFill>
        </w:rPr>
        <w:t>防范重大生态环境风险</w:t>
      </w:r>
      <w:bookmarkEnd w:id="202"/>
      <w:bookmarkEnd w:id="203"/>
      <w:bookmarkEnd w:id="204"/>
      <w:bookmarkEnd w:id="205"/>
    </w:p>
    <w:p w14:paraId="16CA6062">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——强化</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生态</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空间用途管控，优化生态安全格局。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统筹布局和整治生产、生活生态空间，建立和完善生态保护红线、环境质量底线、资源利用上线和生态环境准入清单“三线一单”生态环境空间分区管控体系。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坚持山水林田湖草系统治理，加强城市绿地、河湖水系等自然生态要素的衔接连通，加快打造“山环水润”生态格局。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持续推进</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森林城市、园林城市建设，推广立体绿化，提高城市绿量，发挥森林、河湖生态系统的气候调节功能。统筹山水林田湖草系统治理，加快建立完善自然生态保护监管制度，加强生态空间和生态保护红线管控，深化自然保护地强化监督，不断强化生物多样性保护工作，加大生态保护与修复力度，推进生态文明创建示范。</w:t>
      </w:r>
    </w:p>
    <w:p w14:paraId="39B6531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——树牢底线思维，</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防范重大生态风险</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把生态环境风险纳入常态化管理，构建全过程、多层级生态环境风险防范体系。紧盯“一废一库一品”（危险废物、尾矿库、危险化学品）等高风险领域，加大隐患排查，加强涉重金属行业污染管控和固体废物污染防治，抓好医疗废物废水管理。做好应急物资储备和应急队伍建设，妥善应对突发环境事件。</w:t>
      </w:r>
    </w:p>
    <w:p w14:paraId="455E56D2">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06" w:name="_Toc30107"/>
      <w:bookmarkStart w:id="207" w:name="_Toc5365"/>
      <w:bookmarkStart w:id="208" w:name="_Toc5528"/>
      <w:bookmarkStart w:id="209" w:name="_Toc13568"/>
      <w:r>
        <w:rPr>
          <w:rFonts w:hint="eastAsia" w:ascii="黑体" w:hAnsi="黑体" w:eastAsia="黑体" w:cs="仿宋"/>
          <w:color w:val="000000" w:themeColor="text1"/>
          <w:sz w:val="32"/>
          <w:szCs w:val="32"/>
          <w:highlight w:val="none"/>
          <w14:textFill>
            <w14:solidFill>
              <w14:schemeClr w14:val="tx1"/>
            </w14:solidFill>
          </w14:textFill>
        </w:rPr>
        <w:t>第四节 推动形成区域协同共治机制</w:t>
      </w:r>
      <w:bookmarkEnd w:id="206"/>
      <w:bookmarkEnd w:id="207"/>
      <w:bookmarkEnd w:id="208"/>
      <w:bookmarkEnd w:id="209"/>
    </w:p>
    <w:p w14:paraId="609CE36C">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——区域协同保护推动重大战略实施。</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积极推动与大湾区城市群及深莞惠经济圈生态环保合作，强化多污染物协同控制和区域协同治理。加快构建多元参与环境治理模式，建立健全环境治理的领导责任体系、企业责任体系、全民行动体系、监管体系、市场体系、信用体系、法律法规政策体系、风险防控体系，更好运用法律、经济、行政、技术等手段，提升环境基础治理能力和科技信息支撑能力，不断提高环境治理效能。全面实行排污许可制，强化环境保护、节能减排降碳约束性指标管理。充分发挥河湖长制作用，推进林长制，全面加强生态环境监管能力和监测能力建设。坚持共抓大保护不搞大开发，全面提升沿海经济带协同保护水平。坚持先导与改善并重，修复与保护并重，崛起与治理并重，修复与建设并重，促进绿色开发。</w:t>
      </w:r>
    </w:p>
    <w:p w14:paraId="1517E675">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——大力推进环境治理体系和治理能力现代化。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压实生态环境保护“党政同责、一岗双责”。打通政策链条，综合运用经济、法律以及必要的行政手段，健全约束和激励机制，推动企业履行生态环境治理主体责任。加强统一规范的生态环境综合执法体系建设，公开监督执法正面清单，扎实推进综合行政执法改革，强化行政执法与刑事司法衔接。</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7BC5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14:paraId="47571074">
            <w:pPr>
              <w:snapToGrid/>
              <w:spacing w:before="0" w:beforeAutospacing="0" w:after="0" w:afterAutospacing="0" w:line="400" w:lineRule="exact"/>
              <w:ind w:firstLine="600" w:firstLineChars="20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专栏11-2 生态环境治理、保护与修复重大项目</w:t>
            </w:r>
          </w:p>
        </w:tc>
      </w:tr>
      <w:tr w14:paraId="472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8296" w:type="dxa"/>
          </w:tcPr>
          <w:p w14:paraId="45F24D1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1.生态环境治理</w:t>
            </w:r>
          </w:p>
          <w:p w14:paraId="426D1CF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陆丰市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东溪河水环境控制与治理工程：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东溪河工业污染防治、城镇污水处理系统建设、农村污水系统建设、农业污染防治、湿地综合治理、重点河流综合治理、水质检查断面设置等。</w:t>
            </w:r>
          </w:p>
          <w:p w14:paraId="5DB2DF4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集中式饮用水水源地规范化建设项目：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饮用水水源地自动监测系统、饮用水水源保护区预警监控项目、饮用水水源保护区应急物资（装备）储备库、饮用水源保护区物理防护与界标项目、饮用水源保护区勘界立标项目，编制饮用水水源保护区应急预案，划定饮用水水源保护区。</w:t>
            </w:r>
          </w:p>
          <w:p w14:paraId="185959A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臭氧综合监测站与VOCs在线监测站建设项目：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在我市东部择址各建设一个VOCs在线监测站等，强化VOCs管控。</w:t>
            </w:r>
          </w:p>
          <w:p w14:paraId="72B21CC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2.美丽海湾建设</w:t>
            </w:r>
          </w:p>
          <w:p w14:paraId="536A492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金厢港：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排水工程、环境绿化装饰、航道建设、景观石平台建设、沙滩整治同防护构件等。</w:t>
            </w:r>
          </w:p>
          <w:p w14:paraId="3417F85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3.智慧环境平台建设</w:t>
            </w:r>
          </w:p>
          <w:p w14:paraId="0FB39403">
            <w:pPr>
              <w:snapToGrid/>
              <w:spacing w:before="0" w:beforeAutospacing="0" w:after="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搭建“市、镇”两级架构的环保大数据综合监管平台，实现环境监管、环境预警和生态科学决策智慧化。建设“一中心、两支撑、四平台、N应用”。“一中心”为环保大数据资源中心；“两支撑”为物联网支撑和基础软硬件支撑；“四平台”为一站式综合办公平台、一体化综合展示平台、阳光政府公共服务平台、移动化综合监管平台；“N应用”包括大气环境综合管理应用、网格化综合管理应用、水环境综合管理应用、环境应急管理应用、环境法制管理应用、信访综合管理应用等场景化核心应用功能。</w:t>
            </w:r>
          </w:p>
        </w:tc>
      </w:tr>
    </w:tbl>
    <w:p w14:paraId="67ABAF5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0" w:name="_Toc14789"/>
      <w:r>
        <w:rPr>
          <w:rFonts w:hint="eastAsia" w:ascii="黑体" w:hAnsi="黑体" w:eastAsia="黑体" w:cs="仿宋"/>
          <w:color w:val="000000" w:themeColor="text1"/>
          <w:sz w:val="32"/>
          <w:szCs w:val="32"/>
          <w:highlight w:val="none"/>
          <w14:textFill>
            <w14:solidFill>
              <w14:schemeClr w14:val="tx1"/>
            </w14:solidFill>
          </w14:textFill>
        </w:rPr>
        <w:t>第五节 全面提高资源利用效率</w:t>
      </w:r>
      <w:bookmarkEnd w:id="210"/>
    </w:p>
    <w:p w14:paraId="416BCE21">
      <w:pPr>
        <w:widowControl/>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健全自然资源资产产权制度和法律法规，建立生态产品价值实现机制，完善自然资源有偿使用制度和市场化、多样化的生态补偿。落实最严格水资源管理，优化水资源配置。推动土地资源合理配置和集约高效利用。实施能源消费总量和强度双控行动。推进自然资源要素市场化，完善资源要素价格形成机制，推动废旧物资循环利用，加快星都循环产业园建设步伐，按照静脉工业园标准，打造成循环经济示范基地。全面推进垃圾分类和减量化、资源化，建设“无废城市”。</w:t>
      </w:r>
    </w:p>
    <w:p w14:paraId="3B90121B">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11" w:name="_Toc20049"/>
      <w:bookmarkStart w:id="212" w:name="_Toc30259"/>
      <w:bookmarkStart w:id="213" w:name="_Toc1796"/>
      <w:bookmarkStart w:id="214" w:name="_Toc2850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第十二章 </w:t>
      </w:r>
      <w:bookmarkEnd w:id="21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扎实推进民生事业发展，提高社会建设水平</w:t>
      </w:r>
      <w:bookmarkEnd w:id="212"/>
      <w:bookmarkEnd w:id="213"/>
      <w:bookmarkEnd w:id="214"/>
    </w:p>
    <w:p w14:paraId="776E6AC2">
      <w:pPr>
        <w:widowControl/>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以人民为中心，牢固树立为人民服务的宗旨，在全民共享、全面共享、共建共享、渐进共享中，不断实现好、维护好、发展好最广大人民的根本利益。坚持在发展中补齐民生短板，让改革和发展的成果惠及陆丰全体人民，不断增强人民群众获得感、幸福感、安全感。</w:t>
      </w:r>
    </w:p>
    <w:p w14:paraId="5138F4C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5" w:name="_Toc28195"/>
      <w:bookmarkStart w:id="216" w:name="_Toc3440"/>
      <w:bookmarkStart w:id="217" w:name="_Toc1777"/>
      <w:bookmarkStart w:id="218" w:name="_Toc17425"/>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215"/>
      <w:r>
        <w:rPr>
          <w:rFonts w:hint="eastAsia" w:ascii="黑体" w:hAnsi="黑体" w:eastAsia="黑体" w:cs="仿宋"/>
          <w:color w:val="000000" w:themeColor="text1"/>
          <w:sz w:val="32"/>
          <w:szCs w:val="32"/>
          <w:highlight w:val="none"/>
          <w14:textFill>
            <w14:solidFill>
              <w14:schemeClr w14:val="tx1"/>
            </w14:solidFill>
          </w14:textFill>
        </w:rPr>
        <w:t>努力提高人民收入水平和充分保障居民就业</w:t>
      </w:r>
      <w:bookmarkEnd w:id="216"/>
    </w:p>
    <w:p w14:paraId="36797660">
      <w:pPr>
        <w:widowControl/>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——提高人民收入水平。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坚持按劳分配为主体、多种分配方式并存，提高劳动报酬在初次分配中的比重，</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完善工资制度，健全工资合理增长机制，建立健全科研、技术、管理等人才薪酬激励机制，健全最低工资标准调整、工资集体协商和企业薪酬调查制度，健全农民工工资支付机制。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着力提高低收入群体收入，扩大中等收入群体。</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多渠道增加居民工资性收入、经营性收入、财产性收入，提高城乡居民收入水平。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完善再分配机制，加大税收、社保、转移支付等调节力度和精准性。</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健全完善劳动、资本、土地、知识、管理、数据等生产要素按市场评价贡献、按贡献决定报酬的机制。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发挥第三次分配作用，发展慈善事业等社会公益事业，规范收分配秩序，改善收入和财富分配格局。</w:t>
      </w:r>
    </w:p>
    <w:p w14:paraId="6C3DC7D5">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——实现更充分更高质量就业。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千方百计稳定和扩大就业，完善促进就业、企业用工保障、就业补贴清单等惠企暖企政策。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多渠道健全就业促进机制，进一步提升就业质量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和就业结构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，全面建成全方位公共就业创业服务体系。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保障劳动者待遇和权益，健全就业公共服务体系、劳动关系协调机制、终身职业技能培训制度，注重缓解结构性就业矛盾，加快提升劳动者技能素质。完善高校毕业生、退役军人、农民工和城镇困难人员等重点群体就业支持体系，统筹城乡就业政策体系。扩大公益性岗位安置，帮扶残疾人、零就业家庭成员就业，开发公益性岗位托底安置就业困难人员、贫困劳动力重点群体就业。深入实施“大众创业、万众创新”，完善促进创业带动就业、多渠道灵活就业的保障制度，支持和规范发展新就业形态，推动“粤菜师傅”“广东技工”“南粤家政”三项工程高质量发展，加快实施“农村电商”“乡村工匠”重点工程。健全就业需求调查和失业监测预警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“十四五”期间实现城镇新增就业8万人以上，城镇登记失业率、城镇调查失业率分别控制在3%和6%以内。</w:t>
      </w:r>
    </w:p>
    <w:p w14:paraId="1D8EDB63">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9" w:name="_Toc5990"/>
      <w:r>
        <w:rPr>
          <w:rFonts w:hint="eastAsia" w:ascii="黑体" w:hAnsi="黑体" w:eastAsia="黑体" w:cs="仿宋"/>
          <w:color w:val="000000" w:themeColor="text1"/>
          <w:sz w:val="32"/>
          <w:szCs w:val="32"/>
          <w:highlight w:val="none"/>
          <w14:textFill>
            <w14:solidFill>
              <w14:schemeClr w14:val="tx1"/>
            </w14:solidFill>
          </w14:textFill>
        </w:rPr>
        <w:t>第二节 推动教育现代化发展</w:t>
      </w:r>
      <w:bookmarkEnd w:id="217"/>
      <w:bookmarkEnd w:id="218"/>
      <w:bookmarkEnd w:id="219"/>
    </w:p>
    <w:p w14:paraId="1E257706">
      <w:pPr>
        <w:snapToGrid/>
        <w:spacing w:before="0" w:beforeAutospacing="0" w:after="0" w:afterAutospacing="0" w:line="600" w:lineRule="exact"/>
        <w:ind w:firstLine="641"/>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——提升基础教育办学水平。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促进学前教育更加普惠化发展，实施学前教育“5</w:t>
      </w:r>
      <w:r>
        <w:rPr>
          <w:rFonts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080</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攻坚工程，加大幼儿园建设资金投入，提高学前三年毛入园率、公办园及普惠性幼儿园在园幼儿占比。</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义务教育更加优质均衡，</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义务教育和高中教育教学质量提升工程，开展“决胜课堂”行动，提升教育教学质量，中心区要梯次迁移高中学校，增加学位供给，缓解学位紧张压力。城乡义务教育一体化发展水平明显提升，九年义务教育巩固率进一步提高。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高中教育更加多样化、更具特色，职业教育产教融合、校企合作更加紧密，教育热点难点问题得到有效破解，教育资源配置更加科学合理，教育服务经济社会发展能力不断增强。借鉴汕尾市实验小学试点学校办学新模式，打造我市教育集团。</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推动陆丰市与深圳优质教育资源合作共享，建立深汕师资互动长效机制，开展与深圳市教师双向挂职交流，</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提高教育教学质量。推进特殊教育全面发展，建立认定评估制度，对特殊儿童入学及进一步的医疗和教育评估、教育、康复、卫生保健提出建议，制定个性化教育与康复计划；完善教师管理制度，为特殊教育学校、儿童福利机构附设特教班等</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bidi="ar"/>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配齐教职工，探索建立特殊教育教师分类评价标准；优化特殊教育功能布局，整合资源分类办学，做好精准扶持政策，完善布局合理、学段衔接、普职融通、医教结合的特殊教育体系。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67D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35753B6">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专栏12-1 教育设施建设重点工程</w:t>
            </w:r>
          </w:p>
        </w:tc>
      </w:tr>
      <w:tr w14:paraId="100E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1CA949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陆丰市龙山中学新校区（二期</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二标</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推动校园硬件建设、配套设施。</w:t>
            </w:r>
          </w:p>
          <w:p w14:paraId="4EEC087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林启恩纪念中学现代化综合大楼及学校配套设施提质升级工程：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新建现代化综合大楼一幢，建设食堂及配套学生公寓一幢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现代化电教设施等配套工程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77A53A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3.</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乡镇公立幼儿园补短板建设项目：</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落实</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“5080”规划建设项目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新建及改扩建57所幼儿园教学楼及配套设施设备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3C379B8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4.</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陆丰市第二职业技术学校学生宿舍楼、实训大楼建设项目：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推动学生宿舍楼二栋，实训大楼一栋建设。</w:t>
            </w:r>
          </w:p>
          <w:p w14:paraId="62DDCE8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5.</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陆丰市2019-2020年农村义务教育薄弱环节改善与能力提升项目：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推动建设27座教学楼及教师工作用房。</w:t>
            </w:r>
          </w:p>
          <w:p w14:paraId="5B5E8AC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6.陆丰市高级技工学校：</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推动职业技术教育，建设综合楼、图书馆、教学楼、实验实训楼、食堂、学生宿舍楼、教工宿舍、附属配套设施等。</w:t>
            </w:r>
          </w:p>
        </w:tc>
      </w:tr>
    </w:tbl>
    <w:p w14:paraId="0445EFB8">
      <w:pPr>
        <w:widowControl/>
        <w:snapToGrid/>
        <w:spacing w:before="0" w:beforeAutospacing="0" w:after="0" w:afterAutospacing="0" w:line="600" w:lineRule="exact"/>
        <w:ind w:firstLine="64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bookmarkStart w:id="220" w:name="_Toc3756"/>
      <w:bookmarkStart w:id="221" w:name="_Toc7424"/>
      <w:bookmarkStart w:id="222" w:name="_Toc10613"/>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——加强教师队伍建设。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补充中小学缺编教师，推动落实每年引进全日制本科教师350人、定向培养150人，新增幼儿园教师约1000人。提高中职学校“双师型”教师比例和研究生以上学历教师比例。开展专业化教师及校长培训，提高教师思想道德素质和专业水平。进一步建设好市社区学院、镇场区社区学校、村（居）委社区教育站等社区教育阵地。到2025年，幼儿园专任教师专科学历达83％，小学专任教师本科以上学历达65%，初中专任教师本科以上学历达92％，高中（中职）专任教师研究生以上学历达14%；教师培训年度72学时以上达到95％。构建终身教育体系。全市接受社区教育服务的社区成员占全体成员比例达50%以上。</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5DC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522" w:type="dxa"/>
          </w:tcPr>
          <w:p w14:paraId="0C210058">
            <w:pPr>
              <w:pStyle w:val="15"/>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12-2</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人才培育及就业培训重点工程</w:t>
            </w:r>
          </w:p>
        </w:tc>
      </w:tr>
      <w:tr w14:paraId="79CC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522" w:type="dxa"/>
          </w:tcPr>
          <w:p w14:paraId="2C56711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1.落实“红海扬帆计划”等人才工程：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鼓励用人单位自行引进人才。放宽对高精尖缺人才和青年拔尖人才在事业编制、岗位设置、工资总额方面限制，开辟紧缺高层次专技人才引进“绿色通道”。</w:t>
            </w:r>
          </w:p>
          <w:p w14:paraId="3CDE166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2.专技人才继续教育：</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完善继续教育综合管理与分级分类负责管理机制。推进继续教育培训内容和培训方式改革，提升公需科目线上培训免费服务质量。完善继续教育学时登记认定管理。</w:t>
            </w:r>
          </w:p>
          <w:p w14:paraId="20F50C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3.开展大规模职业技能培训。</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行终身职业技能培训制度，鼓励各类企业开展职工培训。落实劳动力职业技能提升补贴政策，将市场需求大、社会影响广的培训项目纳入补贴范围。优化技能提升补贴申领方式，实现全程网上办理。完善远程职业培训公共服务平台。</w:t>
            </w:r>
          </w:p>
          <w:p w14:paraId="216D521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4.深入实施“粤菜师傅”工程。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推进“粤菜师傅”技能培训和职业教育。完善技工学校“粤菜师傅”培训基地和就业和人才服务中心“粤菜师傅”培训基地建设，实施“粤菜师傅+产业扶贫”行动。进一步强化技工学校“粤菜师傅大师工作室”。</w:t>
            </w:r>
          </w:p>
          <w:p w14:paraId="19E025D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5.大力实施“广东技工”工程。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推进技工学校与企业共建高技能人才实训基地，支持企业建立首席技师机制，挖掘“领军型”高技能人才;加强年轻优秀技能人才的选拔培养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新建一所高级技术学校</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3E988C6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6.推进“南粤家政”工程提质扩容。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构建完善“南粤家政”高质量发展的信用体系、标准体系、产业体系和保障体系，实施母婴服务、居家服务、养老服务、医护服务四大项目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四大平台。创建一个“南粤家政”培训示范基地，实施“南粤家政”就业创业行动计划。大力推进“南粤家政”服务超市、基层服务站点建设。</w:t>
            </w:r>
          </w:p>
          <w:p w14:paraId="2A8A4769">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7.实施“乡村工匠”工程。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开展乡村工匠技能培训，加强乡村工匠实用技能人才职业教育，优先开展校企合作。支持乡村工匠职称评定，开展乡村工匠职业技能竞赛。对乡村工匠创业人员及其创办的经营主体，按规定申请享受就业创业扶持优惠政策。大力开发相关领域就业岗位，创建一个面向乡村工匠创业人员的创业孵化基地。</w:t>
            </w:r>
          </w:p>
        </w:tc>
      </w:tr>
    </w:tbl>
    <w:p w14:paraId="78ABD37A">
      <w:pPr>
        <w:adjustRightInd w:val="0"/>
        <w:snapToGrid w:val="0"/>
        <w:spacing w:line="200" w:lineRule="exact"/>
        <w:jc w:val="both"/>
        <w:outlineLvl w:val="1"/>
        <w:rPr>
          <w:rFonts w:hint="eastAsia" w:ascii="黑体" w:hAnsi="黑体" w:eastAsia="黑体" w:cs="仿宋"/>
          <w:color w:val="000000" w:themeColor="text1"/>
          <w:sz w:val="32"/>
          <w:szCs w:val="32"/>
          <w:highlight w:val="none"/>
          <w14:textFill>
            <w14:solidFill>
              <w14:schemeClr w14:val="tx1"/>
            </w14:solidFill>
          </w14:textFill>
        </w:rPr>
      </w:pPr>
    </w:p>
    <w:p w14:paraId="6AE3EF9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23" w:name="_Toc10935"/>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220"/>
      <w:r>
        <w:rPr>
          <w:rFonts w:hint="eastAsia" w:ascii="黑体" w:hAnsi="黑体" w:eastAsia="黑体" w:cs="仿宋"/>
          <w:color w:val="000000" w:themeColor="text1"/>
          <w:sz w:val="32"/>
          <w:szCs w:val="32"/>
          <w:highlight w:val="none"/>
          <w14:textFill>
            <w14:solidFill>
              <w14:schemeClr w14:val="tx1"/>
            </w14:solidFill>
          </w14:textFill>
        </w:rPr>
        <w:t>全面推进健康陆丰建设</w:t>
      </w:r>
      <w:bookmarkEnd w:id="221"/>
      <w:bookmarkEnd w:id="222"/>
      <w:bookmarkEnd w:id="223"/>
    </w:p>
    <w:p w14:paraId="5D3F25BC">
      <w:pPr>
        <w:snapToGrid/>
        <w:spacing w:before="0" w:beforeAutospacing="0" w:after="0" w:afterAutospacing="0" w:line="600" w:lineRule="exact"/>
        <w:ind w:firstLine="64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——构建强大公共卫生体系。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民健康促进政策，织牢公共卫生防护网，为人民提供全方位全周期健康服务。完善新时期公共卫生机制建设，改革疾病预防控制体系，强化监测预警、风险评估、流行病学调查、检验检测、应急处置等职能。改善疾控基础条件，完善突发公共卫生事件监测预警处置机制，健全医疗救治、物资保障体系，提高应对突发公共卫生事件能力。构建医防结合的卫生服务体系，发挥政府主导作用，加强医疗卫生机构合作，深化医防结合，做好医疗机构和疾控之间的配套和衔接，加强公共卫生能力建设。优化公共卫生资源配置，建立稳定的公共卫生事业投入机制。加强公共卫生人才队伍建设，改革公共卫生领域的薪酬机制，引入公共卫生服务人员激励机制，提高公共卫生队伍的整体素质。</w:t>
      </w:r>
    </w:p>
    <w:p w14:paraId="27F450EA">
      <w:pPr>
        <w:snapToGrid/>
        <w:spacing w:before="0" w:beforeAutospacing="0" w:after="0" w:afterAutospacing="0" w:line="600" w:lineRule="exact"/>
        <w:ind w:firstLine="640"/>
        <w:jc w:val="both"/>
        <w:textAlignment w:val="baseline"/>
        <w:rPr>
          <w:b w:val="0"/>
          <w:i w:val="0"/>
          <w:caps w:val="0"/>
          <w:color w:val="000000" w:themeColor="text1"/>
          <w:spacing w:val="0"/>
          <w:w w:val="100"/>
          <w:sz w:val="20"/>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——推进医疗服务均衡发展。</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加大医疗信息化建设投入。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大力推进智慧医疗、数字医疗建设，进一步改善服务环境、优化服务流程、提升服务质量；依托5</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、A</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I</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大数据等技术建设市人民医院数字化信息系统和市全民健康信息系统，实现医疗卫生信息互联互通和资源共享，提高诊疗服务效率与质量。推进县级公立医院信息系统二期“智慧医院”建设，发展远程会诊、远程教育培训等便民服务。促进市人民医院与市第二、第三人民医院组建紧密型县域医共体，提升现需医疗服务体系整体运行效率和综合服务能力。</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创新医疗卫生管理体制和运行体制。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系统整合区域医疗卫生资源，推进紧密型县域医疗卫生共同体建设；实施医药、医院、医保、医共体、数字医疗“</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医联动”，多措并举加强医疗卫生行业综合监管，</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推进医疗卫生治理体系和治理能力现代化，不断提升群众的健康获得感、幸福感、安全感。</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推进市人民医院颐养园附属医院建设，实施医养结合服务。</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DB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3DFC658">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专栏12-3：医疗卫生补短板重点工程</w:t>
            </w:r>
          </w:p>
        </w:tc>
      </w:tr>
      <w:tr w14:paraId="0958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D54E13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1.整体配套提升项目</w:t>
            </w:r>
          </w:p>
          <w:p w14:paraId="6C1D2F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全市发热门诊（诊室）规范化建设：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市人民医院和市第二、第三人民医院发热门诊、核酸实验室及配套设备；建设市妇幼保健院、市中医医院核酸实验室及完善发热诊室的配套设施；完善16个基层发热诊室的规范化建设，包括甲东镇、甲西镇、湖东镇、内湖镇、陂洋镇、桥冲镇、八万镇、河东镇、大安镇、西南镇、上英镇、潭西镇、金厢镇、南塘镇、博美镇等14个（中心）卫生院和东海镇社区卫生服务中心。</w:t>
            </w:r>
          </w:p>
          <w:p w14:paraId="74C6062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基层医疗机构配套设施：</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完善14家乡镇卫生院及3家社区卫生服务中心污水处理系统、空调系统、医疗垃圾处理、防辐射、医疗设备配置。</w:t>
            </w:r>
          </w:p>
          <w:p w14:paraId="2973406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区域卫生信息化建设：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实施全民健康信息系统建设，促进全市医疗卫生信息资源有机整合；推进市人民医院数字化信息系统建设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215687F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2.陆丰市中医医院医疗工程建设项目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：建设发热门诊一体化、影像中心、功能科室升级、医院公用工程、门诊楼升级改造、远程医疗管理培训中心建设。</w:t>
            </w:r>
          </w:p>
          <w:p w14:paraId="5D7B30B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w:t>
            </w:r>
            <w:bookmarkStart w:id="224" w:name="_Toc4059"/>
            <w:bookmarkStart w:id="225" w:name="_Toc14196"/>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陆丰市人民医院传染病区建设项目</w:t>
            </w:r>
            <w:bookmarkEnd w:id="224"/>
            <w:bookmarkEnd w:id="225"/>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启动市人民医院传染病区建设项目，建设一栋高5层共100张床位的传染病区</w:t>
            </w:r>
            <w:bookmarkStart w:id="226" w:name="_Toc23898"/>
            <w:bookmarkStart w:id="227" w:name="_Toc28715"/>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6998C6C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4.陆丰市人民医院颐养园附属医院建设项目</w:t>
            </w:r>
            <w:bookmarkEnd w:id="226"/>
            <w:bookmarkEnd w:id="227"/>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推进全市医养结合工作开展，提升全市养老服务设施配套，市人民医院启动颐养园附属医院建设项目，规划建设一栋100张床位的综合病区</w:t>
            </w:r>
            <w:bookmarkStart w:id="228" w:name="_Toc28106"/>
            <w:bookmarkStart w:id="229" w:name="_Toc32273"/>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2E42585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5.陆丰市疾病预防控制中心新建项目</w:t>
            </w:r>
            <w:bookmarkEnd w:id="228"/>
            <w:bookmarkEnd w:id="229"/>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异地新建市疾控中心，建设工作用房，包括PCR(核酸检测)实验室、食品安全风险实验室、微生物实验室、理化实验室、临床实验室、艾滋病筛查实验室、疫苗存储普通冷库、低温冷库及其他业务工作用房等建设、应急物资储备库及其他业务工作用房等建设、完成污水处理系统、配套基础设施和实验室仪器设备。</w:t>
            </w:r>
          </w:p>
          <w:p w14:paraId="41F9CFBF">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bookmarkStart w:id="230" w:name="_Toc18925"/>
            <w:bookmarkStart w:id="231" w:name="_Toc17827"/>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6.陆丰市第四人民医院（市精神病医院）建设项目</w:t>
            </w:r>
            <w:bookmarkEnd w:id="230"/>
            <w:bookmarkEnd w:id="231"/>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启动陆丰市第四人民医院（市精神病医院）建设项目。</w:t>
            </w:r>
          </w:p>
        </w:tc>
      </w:tr>
    </w:tbl>
    <w:p w14:paraId="32803981">
      <w:pPr>
        <w:adjustRightInd w:val="0"/>
        <w:snapToGrid w:val="0"/>
        <w:spacing w:line="2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2" w:name="_Toc17011"/>
      <w:bookmarkStart w:id="233" w:name="_Toc23099"/>
    </w:p>
    <w:p w14:paraId="4F45A4F0">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4" w:name="_Toc856"/>
      <w:r>
        <w:rPr>
          <w:rFonts w:hint="eastAsia" w:ascii="黑体" w:hAnsi="黑体" w:eastAsia="黑体" w:cs="仿宋"/>
          <w:color w:val="000000" w:themeColor="text1"/>
          <w:sz w:val="32"/>
          <w:szCs w:val="32"/>
          <w:highlight w:val="none"/>
          <w14:textFill>
            <w14:solidFill>
              <w14:schemeClr w14:val="tx1"/>
            </w14:solidFill>
          </w14:textFill>
        </w:rPr>
        <w:t>第四节 完善多层次社会保障体系</w:t>
      </w:r>
      <w:bookmarkEnd w:id="232"/>
      <w:bookmarkEnd w:id="233"/>
      <w:bookmarkEnd w:id="234"/>
    </w:p>
    <w:p w14:paraId="6A1CEF3F">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——覆盖全民的社会保障体系更加完善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社会保障方面。整合资源，探索建立社保工作激励机制，推进实施“全民参保计划”，不断健全联动机制，完善企业职工养老保险和城乡居民基本养老保险制度。养老、失业、工伤保险实现应保尽保，提高参保缴费质量；全面推进社会保险制度改革，不断提高统筹层次，健全多层次的社会保障体系。健全社保待遇确定和调整机制，实现城乡、区域、群体间保障水平合理衔接。完善社会保险基金投资运营制度，促进基金运行安全可持续。医疗保障方面，抓好异地就医直接结算，推进基础制度整合和完善，完善大病保险和医疗救助制度，提高经办服务效率，加快标准化和信息化建设。加快推进我市医保中心的筹建工作，紧抓乡镇机构改革的契机，落实经办服务下沉，窗口前移，更好地便民惠民。救助方面，强化困难群众兜底保障。确保困难群体生活水平与国民经济收入增长同步提高。落实社会救助和保障标准与物价上涨挂钩联动机制的价格临时补贴政策，补贴金额与物价涨幅同比例变动。优化社会救助申请和办理程序，充分利用“粤省事”等信息化手段，提高办理效率。健全退役军人工作体系和保障制度。统筹运用急难社会救助、专项救助和低保等基本生活救助政策。全力保障妇女儿童合法权益，提升对青年妇女儿童健康服务水平，设置青少年事务热线和妇女儿童维权热线，为青年妇女儿童提供维权和心理咨询服务，积极组织群众性文化、科技、体育活动，不断优化青年妇女儿童生存发展环境。健全老年人、残疾人关爱服务体系和设施，完善帮扶残疾人、孤儿等社会福利制度，建立健全孤儿基本生活最低养育标准自然增长机制。“十四五”期末，全市城镇职工基本养老保险、城乡居民基本养老保险、失业保险、工伤保险参保人数争取分别达到</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14.8</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60</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6.2</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5.3</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p>
    <w:p w14:paraId="2A7A339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5" w:name="_Toc3088"/>
      <w:bookmarkStart w:id="236" w:name="_Toc3878"/>
      <w:bookmarkStart w:id="237" w:name="_Toc18191"/>
      <w:r>
        <w:rPr>
          <w:rFonts w:hint="eastAsia" w:ascii="黑体" w:hAnsi="黑体" w:eastAsia="黑体" w:cs="仿宋"/>
          <w:color w:val="000000" w:themeColor="text1"/>
          <w:sz w:val="32"/>
          <w:szCs w:val="32"/>
          <w:highlight w:val="none"/>
          <w14:textFill>
            <w14:solidFill>
              <w14:schemeClr w14:val="tx1"/>
            </w14:solidFill>
          </w14:textFill>
        </w:rPr>
        <w:t>第五节 实施积极应对人口老龄化国家战略</w:t>
      </w:r>
      <w:bookmarkEnd w:id="235"/>
      <w:bookmarkEnd w:id="236"/>
      <w:bookmarkEnd w:id="237"/>
    </w:p>
    <w:p w14:paraId="504AF30C">
      <w:pPr>
        <w:snapToGrid/>
        <w:spacing w:before="0" w:beforeAutospacing="0" w:after="0" w:afterAutospacing="0" w:line="600" w:lineRule="exact"/>
        <w:ind w:firstLine="643" w:firstLineChars="200"/>
        <w:jc w:val="both"/>
        <w:textAlignment w:val="baseline"/>
        <w:rPr>
          <w:rFonts w:hint="eastAsia" w:ascii="仿宋_GB2312" w:hAnsi="仿宋" w:eastAsia="仿宋_GB2312" w:cs="仿宋"/>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仿宋"/>
          <w:b/>
          <w:bCs/>
          <w:i w:val="0"/>
          <w:caps w:val="0"/>
          <w:color w:val="000000" w:themeColor="text1"/>
          <w:spacing w:val="0"/>
          <w:w w:val="100"/>
          <w:sz w:val="32"/>
          <w:szCs w:val="32"/>
          <w:highlight w:val="none"/>
          <w:u w:val="none" w:color="auto"/>
          <w14:textFill>
            <w14:solidFill>
              <w14:schemeClr w14:val="tx1"/>
            </w14:solidFill>
          </w14:textFill>
        </w:rPr>
        <w:t>——推动人口结构优化。</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 xml:space="preserve">健全人口与发展综合决策机制，促进人口与经济活动、人口与基础设施及公共服务的空间匹配，实现可持续发展。促进人口合理分布，引导人口向优化开发和重点开发区域适度集聚，加大环境治理与保护力度，提升城市人口承载力。完善人口发展政策体系，坚持男女平等基本国策，积极转变人口调控理念和方法，统筹解决人口均衡发展问题，提高人口管理水平，形成人口与经济社会发展相协调的良性循环。健全服务体系，发展普惠托育服务体系，降低生育、养育、教育成本，优化生育服务，促进人口长期均衡发展，提高人口素质。 </w:t>
      </w:r>
    </w:p>
    <w:p w14:paraId="5AB1D1D3">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仿宋"/>
          <w:b/>
          <w:bCs/>
          <w:i w:val="0"/>
          <w:caps w:val="0"/>
          <w:color w:val="000000" w:themeColor="text1"/>
          <w:spacing w:val="0"/>
          <w:w w:val="100"/>
          <w:sz w:val="32"/>
          <w:szCs w:val="32"/>
          <w:highlight w:val="none"/>
          <w:u w:val="none" w:color="auto"/>
          <w14:textFill>
            <w14:solidFill>
              <w14:schemeClr w14:val="tx1"/>
            </w14:solidFill>
          </w14:textFill>
        </w:rPr>
        <w:t>——构建居家社区机构相协调、医养康养相结合的养老服务体系。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推动市</w:t>
      </w:r>
      <w:r>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颐养园</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附属</w:t>
      </w:r>
      <w:r>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医院、镇级敬老院提质升级工程</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，大力推进医养结合，探索建设区域性健康养老示范基地，打造以居家为基础、社区为依托、机构为补充、医养相结合的多层次养老服务体系。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公办养老机构入住评估轮候制度，建设1间符合三星级以上标准，以失能、部分失能特困人员专业照护为主的县级供养服务设施（敬老院），实现镇级敬老院100%覆盖。养老服务设施覆盖100%的城镇社区和60%以上的农村社区，所有街道和有条件的乡镇至少建有一家居家社区养老服务机构，提供具备全托、日托、上门服务、对下指导等综合功能的居家社区养老服务；社区日间照料机构覆盖率达到90%以上，社区15分钟居家养老服务圈基本建成，居家社区养老紧急救援系统基本建立。推进医养康养融合发展，支持养老机构、医疗机构开展多种形式的合作，提升社区医养结合能力。建设1家设有老年病医院、康复医院、护理院或中医院等的养老机构，养老机构与协议合作的医疗机构普遍开通双向转介绿色通道，所有医疗机构开设为老年人提供挂号、就医等便利服务的绿色通道，基层医疗卫生机构与居家社区养老机构实现紧密融合。</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976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1D8BCE6">
            <w:pPr>
              <w:pStyle w:val="14"/>
              <w:snapToGrid/>
              <w:spacing w:before="0" w:beforeAutospacing="0" w:after="0" w:afterAutospacing="0" w:line="400" w:lineRule="exact"/>
              <w:ind w:left="0" w:leftChars="0"/>
              <w:jc w:val="center"/>
              <w:textAlignment w:val="baseline"/>
              <w:rPr>
                <w:rFonts w:ascii="仿宋_GB2312" w:eastAsia="仿宋_GB2312"/>
                <w:b w:val="0"/>
                <w:i w:val="0"/>
                <w:caps w:val="0"/>
                <w:color w:val="000000" w:themeColor="text1"/>
                <w:spacing w:val="0"/>
                <w:w w:val="100"/>
                <w:sz w:val="21"/>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专栏12-4：养老服务基础设施建设重点工程</w:t>
            </w:r>
          </w:p>
        </w:tc>
      </w:tr>
      <w:tr w14:paraId="2D2B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27AC7E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1.养老服务设施补短板</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将</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居</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家社区养老服务设施纳入城乡社区配套用房建设范围，新建住宅小区按每百户不低于20平方米的标准配套建设养老服务设施，并在规划设计条件中予以明确。到2022年，全市新建住宅小区配建养老服务设施百分百达标。按照每百户不低于15平方米的标准，通过新建、改建、购置、置换和租赁等方式进行配置。</w:t>
            </w:r>
          </w:p>
          <w:p w14:paraId="39AC0D48">
            <w:pPr>
              <w:snapToGrid/>
              <w:spacing w:before="0" w:beforeAutospacing="0" w:after="0" w:afterAutospacing="0" w:line="400" w:lineRule="exact"/>
              <w:ind w:firstLine="562" w:firstLineChars="200"/>
              <w:jc w:val="both"/>
              <w:textAlignment w:val="baseline"/>
              <w:rPr>
                <w:rFonts w:ascii="仿宋_GB2312" w:eastAsia="仿宋_GB2312"/>
                <w:b w:val="0"/>
                <w:i w:val="0"/>
                <w:caps w:val="0"/>
                <w:color w:val="000000" w:themeColor="text1"/>
                <w:spacing w:val="0"/>
                <w:w w:val="100"/>
                <w:sz w:val="24"/>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2.制定整合闲置资源改造成养老服务设施的政策：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鼓励将符合“三旧”改造条件的村级工业园、旧厂房、旧村庄等场所改造成养老服务设施。对城镇现有闲置设施及农村集体用地上盖建筑物进行改造利用举办养老服务机构的，可先按养老设施使用，后改变土地使用性质。将闲置公有房产优先用于养老服务，租赁期限延长至15年。</w:t>
            </w:r>
          </w:p>
        </w:tc>
      </w:tr>
    </w:tbl>
    <w:p w14:paraId="67DD1F09">
      <w:pPr>
        <w:snapToGrid w:val="0"/>
        <w:spacing w:before="0" w:beforeAutospacing="0" w:after="0" w:afterAutospacing="0" w:line="600" w:lineRule="exact"/>
        <w:jc w:val="center"/>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bookmarkStart w:id="238" w:name="_Toc18773"/>
      <w:bookmarkStart w:id="239" w:name="_Toc24301"/>
      <w:bookmarkStart w:id="240" w:name="_Toc26235"/>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第六节 加强和创新社会治理</w:t>
      </w:r>
      <w:bookmarkEnd w:id="238"/>
      <w:bookmarkEnd w:id="239"/>
      <w:bookmarkEnd w:id="240"/>
    </w:p>
    <w:p w14:paraId="4A6814B8">
      <w:pPr>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创新社会治理体制机制，打造共治、自治、法治、德治、善治“五治一体”新时代陆丰社会治理新模式，推进社会治理体系和治理能力现代化，建设社会治理共同体。</w:t>
      </w:r>
    </w:p>
    <w:p w14:paraId="2DAFD3C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——夯实治理基础推进基层善治。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持续深化创新城乡社区治理示范试点工作，以“党建+”为引领，加强“红色村”建设，运用“大数据+网格化+群众路线”工作机制，进一步完善镇村组三级基层治理网格化、智慧化管理架构，全面提升全</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治理体系和治理能力现代化水平。</w:t>
      </w:r>
      <w:r>
        <w:rPr>
          <w:rFonts w:hint="eastAsia" w:ascii="仿宋_GB2312" w:eastAsia="仿宋_GB2312"/>
          <w:color w:val="000000" w:themeColor="text1"/>
          <w:sz w:val="32"/>
          <w:szCs w:val="32"/>
          <w:highlight w:val="none"/>
          <w:lang w:val="en-US" w:eastAsia="zh-CN"/>
          <w14:textFill>
            <w14:solidFill>
              <w14:schemeClr w14:val="tx1"/>
            </w14:solidFill>
          </w14:textFill>
        </w:rPr>
        <w:t>打造新时代陆丰特色“枫桥经验”升级版，推进现代化科技手段与传统群防群治有机结合，加快绘制民情地图，畅通和规范群众诉求、利益协调、权益保障机制，筑牢织密综合治理“一张网”，不断提高社会治理精细化、专业化、规范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进一步加强农村基层党组织规范化建设，科学合理设置基层党组织，深入实施“头雁”工程，大力推动村党组织书记、村委会主任、村集体经济组织或农民合作组织负责人三个职务“一肩挑”，</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争取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为每个村至少动态培养2名村基层党组后备干部。深入开展机关干部“返乡走亲”、“双报到，双服务”，镇</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（场、区）</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干部“驻村连心”、基层党员“联户交心”活动，加强驻村第一书记选派管理。完善协商议事制度，建立多元治理机制，落实“四议两公开”制度，推广村（社区）党群议事会</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议</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制度，建立党组织领导、村（居）委会组织群众广泛参与、社会组织联动的合理有序的协商议事制度体系。健全以财政投入为主、村级组织运转经费</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为辅的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保障机制。加强农村纪检监察工作，充分发挥基层党组织监督作用。深入推进农村扫黑除恶专项斗争，推动全面从严治党向基层延伸。</w:t>
      </w:r>
    </w:p>
    <w:p w14:paraId="68D863C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——强化综合治理力度。</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坚持以禁毒重点整治争取创建禁毒示范城市为目标，</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深入</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推进社会治安重点整治和“飓风”等专项行动，全面加强打击违法犯罪工作。继续深化禁毒工作，推进禁毒工作向“执法打击、预防宣传、社会帮教工作同时发力”转变，确保毒品犯罪不再回流反弹。建立健全遏制黑恶势力滋生蔓延的长效机制,铲除黑恶势力的滋生土壤。健全完善整治走私经营“洋垃圾”长效机制,防止碣石镇“洋垃圾”死灰复燃。继续压实细化层级责任，推进禁毒、打假、反走私、自然资源保护网格化管理。开展非法集资、互联网金融风险专项整治，打赢防范化解重大风险攻坚战。</w:t>
      </w:r>
    </w:p>
    <w:p w14:paraId="619639E1">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——加强基层社会治理。</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扎实推进创新城乡社区治理试点工作,推动“互联网+政务服务”体系延伸到城乡社区,提升社区政务服务和公共管理水平。健全基层治理体系,发挥基层党组织的主心骨作用。充分发挥村(社区)公共服务中心(站)和议事会等各类村民自治组织的积极作用,全面提升基层自治能力和服务水平。支持和鼓励工青妇等群团组织发挥桥梁纽带作用，推动各类社会组织参与社会治理。加强社工人才队伍和志愿者队伍建设。滚动排查化解社会矛盾,集中力量解决重点领域、重点利益诉求群体的突出矛盾,最大限度减少基层不稳定因素。</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F2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462885">
            <w:pPr>
              <w:pStyle w:val="14"/>
              <w:snapToGrid/>
              <w:spacing w:before="0" w:beforeAutospacing="0" w:after="0" w:afterAutospacing="0" w:line="400" w:lineRule="exact"/>
              <w:ind w:left="0" w:leftChars="0"/>
              <w:jc w:val="center"/>
              <w:textAlignment w:val="baseline"/>
              <w:rPr>
                <w:rFonts w:ascii="仿宋_GB2312" w:eastAsia="仿宋_GB2312"/>
                <w:b w:val="0"/>
                <w:i w:val="0"/>
                <w:caps w:val="0"/>
                <w:color w:val="000000" w:themeColor="text1"/>
                <w:spacing w:val="0"/>
                <w:w w:val="100"/>
                <w:sz w:val="21"/>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专栏12-5：加强和创新社会治理</w:t>
            </w:r>
          </w:p>
        </w:tc>
      </w:tr>
      <w:tr w14:paraId="63A2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4ECD7A6">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default" w:ascii="仿宋_GB2312" w:eastAsia="仿宋_GB2312"/>
                <w:b w:val="0"/>
                <w:i w:val="0"/>
                <w:caps w:val="0"/>
                <w:color w:val="000000" w:themeColor="text1"/>
                <w:spacing w:val="0"/>
                <w:w w:val="100"/>
                <w:sz w:val="24"/>
                <w:highlight w:val="none"/>
                <w:u w:val="none" w:color="auto"/>
                <w:lang w:val="en-US"/>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2"/>
                <w:sz w:val="28"/>
                <w:szCs w:val="28"/>
                <w:highlight w:val="none"/>
                <w:u w:val="none" w:color="auto"/>
                <w:lang w:val="en-US" w:eastAsia="zh-CN" w:bidi="ar-SA"/>
                <w14:textFill>
                  <w14:solidFill>
                    <w14:schemeClr w14:val="tx1"/>
                  </w14:solidFill>
                </w14:textFill>
              </w:rPr>
              <w:t>陆丰市民情地图工程：</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打造新时代陆丰特色“枫桥经验”升级版，推进现代化科技手段与传统群防群治有机结合，加快绘制民情地图，畅通和规范群众诉求、利益协调、权益保障机制，筑牢织密综合治理“一张网”，不断提高社会治理精细化、专业化、规范化。完善（市、镇、村）三级综治中心、建设市、镇联勤指挥中心等。</w:t>
            </w:r>
          </w:p>
        </w:tc>
      </w:tr>
    </w:tbl>
    <w:p w14:paraId="6AB9839A">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41" w:name="_Toc7157"/>
      <w:bookmarkStart w:id="242" w:name="_Toc59331274"/>
      <w:bookmarkStart w:id="243" w:name="_Toc58320438"/>
      <w:bookmarkStart w:id="244" w:name="_Toc21955"/>
      <w:bookmarkStart w:id="245" w:name="_Toc8639"/>
      <w:bookmarkStart w:id="246" w:name="_Toc599"/>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第十三章 </w:t>
      </w:r>
      <w:bookmarkEnd w:id="241"/>
      <w:bookmarkEnd w:id="242"/>
      <w:bookmarkEnd w:id="24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答好发展和安全两张卷，建设更高水平平安陆丰</w:t>
      </w:r>
      <w:bookmarkEnd w:id="244"/>
      <w:bookmarkEnd w:id="245"/>
      <w:bookmarkEnd w:id="246"/>
    </w:p>
    <w:p w14:paraId="472A5B92">
      <w:pPr>
        <w:snapToGrid w:val="0"/>
        <w:spacing w:before="0" w:beforeAutospacing="0" w:after="0" w:afterAutospacing="0" w:line="600" w:lineRule="exact"/>
        <w:ind w:firstLine="641"/>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全面落实总体国家安全观，统筹发展和安全，坚持人民安全、政治安全、国家利益至上有机统一，把安全发展贯穿</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发展各领域和全过程，防范和化解影响现代化进程的各种风险。</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围绕政治更安全、社会更安定、人民更安宁“三大目标”，着力打好市域治理主动仗和平安建设翻身仗“两场大仗”，</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高水平建设平安陆丰、无毒陆丰和法制陆丰。</w:t>
      </w:r>
    </w:p>
    <w:p w14:paraId="4CCE53C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47" w:name="_Toc59331275"/>
      <w:bookmarkStart w:id="248" w:name="_Toc29418"/>
      <w:bookmarkStart w:id="249" w:name="_Toc58320439"/>
      <w:bookmarkStart w:id="250" w:name="_Toc22712"/>
      <w:bookmarkStart w:id="251" w:name="_Toc7447"/>
      <w:bookmarkStart w:id="252" w:name="_Toc7656"/>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247"/>
      <w:bookmarkEnd w:id="248"/>
      <w:bookmarkEnd w:id="249"/>
      <w:r>
        <w:rPr>
          <w:rFonts w:hint="eastAsia" w:ascii="黑体" w:hAnsi="黑体" w:eastAsia="黑体" w:cs="仿宋"/>
          <w:color w:val="000000" w:themeColor="text1"/>
          <w:sz w:val="32"/>
          <w:szCs w:val="32"/>
          <w:highlight w:val="none"/>
          <w14:textFill>
            <w14:solidFill>
              <w14:schemeClr w14:val="tx1"/>
            </w14:solidFill>
          </w14:textFill>
        </w:rPr>
        <w:t>加强国家安全能力建设</w:t>
      </w:r>
      <w:bookmarkEnd w:id="250"/>
      <w:bookmarkEnd w:id="251"/>
      <w:bookmarkEnd w:id="252"/>
    </w:p>
    <w:p w14:paraId="45B3E5D4">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加强国家安全体系建设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健全国家安全政策体系、人才体系和运行机制。贯彻落实《中华人民共和国国家安全法》，健全国家安全审查和监管制度，加强国家安全执法。加强国家安全宣传教育，增强全民国家安全意识，巩固国家安全人民防线。完善全国全省全市“一盘棋”应急响应机制和重大突发事件“四个一”应急处置机制。</w:t>
      </w:r>
    </w:p>
    <w:p w14:paraId="1C423FED">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加强意识形态安全建设。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定维护国家政权安全、制度安全、意识形态安全，严密防范和严厉打击敌对势力渗透、破坏、颠覆、分裂活动。加强网络、高校、青年等重要阵地管理建设，深入实施网络意识形态“护城河”工程，全面加强网络安全保障体系和能力建设，强化关键信息基础设施防护，加强网络安全信息统筹机制、手段、平台建设，不断创新网络安全人才培养使用机制，深入开展网络安全知识技能普及工作，全方位铸造网络安全的“金钟罩”。</w:t>
      </w:r>
    </w:p>
    <w:p w14:paraId="782799CA">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加强国防动员能力建设。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完善国民经济动员体制机制, 统筹人民武装动员、国民经济动员、人民防空动员、交通运输动员、科技装备动员、网络信息动员、政治动员等重点工作，加快构建与经济发展相协调、与遂行保障打赢相匹配的国防动员体系。加强国防后备力量建设, 促进军民深度融合发展。广泛开展国防教育，推进双拥共建工作。</w:t>
      </w:r>
    </w:p>
    <w:p w14:paraId="51C07704">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加强经济安全能力建设。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提高经济风险预警、防控机制和能力建设，实现重要产业、基础设施、战略资源、重大科技等领域安全可控。维护重大基础设施安全。建立完善水利、电力、供水、油气、交通、通信、网络、金融等重要基础设施安全预警、隐患排查与应急响应机制，维护重要基础设施安全，提高水资源集约安全利用水平。保障粮食安全。牢牢守住耕地红线，加快高标准农田建设，保护农民种粮积极性，推动藏粮于地、藏粮于技落实落地，提升粮食生产能力和抗灾能力。落实地方粮食储备规模，优化储备布局和品种结构，完善粮食仓储物流体系，构建储备功能完善、品种结构优化、储存方式灵活、承储主体多元、粮食储备安全的储备体系。完善粮食调控和监管机制，加强粮食产销合作，推进“放心粮油”工程建设，维护粮食市场秩序，保障军需民食。完善粮食应急供应保障和监测预警体系，及时处置突发事件。完善粮食安全责任考核机制和责任追究机制。</w:t>
      </w:r>
    </w:p>
    <w:p w14:paraId="6776263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53" w:name="_Toc58320440"/>
      <w:bookmarkStart w:id="254" w:name="_Toc25903"/>
      <w:bookmarkStart w:id="255" w:name="_Toc59331276"/>
      <w:bookmarkStart w:id="256" w:name="_Toc22277"/>
      <w:bookmarkStart w:id="257" w:name="_Toc10995"/>
      <w:bookmarkStart w:id="258" w:name="_Toc251"/>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253"/>
      <w:bookmarkEnd w:id="254"/>
      <w:bookmarkEnd w:id="255"/>
      <w:r>
        <w:rPr>
          <w:rFonts w:hint="eastAsia" w:ascii="黑体" w:hAnsi="黑体" w:eastAsia="黑体" w:cs="仿宋"/>
          <w:color w:val="000000" w:themeColor="text1"/>
          <w:sz w:val="32"/>
          <w:szCs w:val="32"/>
          <w:highlight w:val="none"/>
          <w14:textFill>
            <w14:solidFill>
              <w14:schemeClr w14:val="tx1"/>
            </w14:solidFill>
          </w14:textFill>
        </w:rPr>
        <w:t>积极防范化解重大风险</w:t>
      </w:r>
      <w:bookmarkEnd w:id="256"/>
      <w:bookmarkEnd w:id="257"/>
      <w:bookmarkEnd w:id="258"/>
    </w:p>
    <w:p w14:paraId="6800290C">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健全防范化解重大风险领导机制，防范化解政治、意识形态、经济、生物、科技、社会等重点领域重大风险，维护金融安全，着力防范化解金融领域风险，牢牢守住政府债务限额警戒线，防范经济领域风险向社会、民生等领域传导。确保生态安全，维护新型领域安全。健全重大风险分析研判、常态化风险隐患监测机制，建立新业态新领域安全风险评估、管理机制。充分利用大数据、人工智能等新工具新模式，实现风险识别更精准、风险响应更迅速、风险处置更稳妥。充分发挥制度效能，巩固提升有效工作机制，加强风险研判、评估、防控协同等制度建设，不断提高风险防范科学化水平。</w:t>
      </w:r>
    </w:p>
    <w:p w14:paraId="298669D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59" w:name="_Toc59331277"/>
      <w:bookmarkStart w:id="260" w:name="_Toc58320441"/>
      <w:bookmarkStart w:id="261" w:name="_Toc17952"/>
      <w:bookmarkStart w:id="262" w:name="_Toc27810"/>
      <w:bookmarkStart w:id="263" w:name="_Toc1736"/>
      <w:bookmarkStart w:id="264" w:name="_Toc14048"/>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259"/>
      <w:bookmarkEnd w:id="260"/>
      <w:bookmarkEnd w:id="261"/>
      <w:r>
        <w:rPr>
          <w:rFonts w:hint="eastAsia" w:ascii="黑体" w:hAnsi="黑体" w:eastAsia="黑体" w:cs="仿宋"/>
          <w:color w:val="000000" w:themeColor="text1"/>
          <w:sz w:val="32"/>
          <w:szCs w:val="32"/>
          <w:highlight w:val="none"/>
          <w14:textFill>
            <w14:solidFill>
              <w14:schemeClr w14:val="tx1"/>
            </w14:solidFill>
          </w14:textFill>
        </w:rPr>
        <w:t>着力健全公共安全体系</w:t>
      </w:r>
      <w:bookmarkEnd w:id="262"/>
      <w:bookmarkEnd w:id="263"/>
      <w:bookmarkEnd w:id="264"/>
    </w:p>
    <w:p w14:paraId="77561AF2">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坚持人民至上、生命至上，把保护人民生命安全摆在首位，全面提高公共安全保障能力。</w:t>
      </w:r>
    </w:p>
    <w:p w14:paraId="566B8A43">
      <w:pPr>
        <w:pStyle w:val="59"/>
        <w:snapToGrid/>
        <w:spacing w:before="0" w:beforeAutospacing="0" w:after="0" w:afterAutospacing="0" w:line="59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推动落实“四长制”，强化陆域和海上公共安全管理。</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常态化推进“四长制”，进一步对全市港（岙）口按照“一区一域、一船一位、一船一号”进行划分，配齐渔船管理网格员、海岸线巡逻员，全面规范管理，巩固扩大涉渔涉海“一打一拆三整治”工作成果，实现“依湾管港、依港管船、依船管人”的目标。严格按照各环节要求落实责任分工，形成合力，实现全市190多公里海岸线闭环式管理，努力构建布局合理、产权清晰、功能完备、管理先进、生态良好的现代海湾、渔港、岙口体系。</w:t>
      </w:r>
    </w:p>
    <w:p w14:paraId="37E71628">
      <w:pPr>
        <w:snapToGrid w:val="0"/>
        <w:spacing w:before="0" w:beforeAutospacing="0" w:after="0" w:afterAutospacing="0" w:line="59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加强安全生产监管。</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扎实推进安全生产，完善安全生产责任体系，强化安全生产责任制考核，推动安全生产责任全员全岗位全覆盖。加强安全生产监管执法，实施安全生产专项治理工程，加强安全生产重大风险管控和重大隐患整改，严厉打击安全生产违法违规行为，全力遏制防范道路交通、建筑施工、渔业船舶等重特大安全事故。加强职业健康监管，强化职业病危害源头管控，持续开展职业卫生执法监察联合行动，大力防控重点行业职业病危害。加强安全生产应急管理，完善安全生产应急预案，建立安全生产应急协调机制，健全生产安全事故快速响应机制，提升安全生产应急处置能力。建设陆丰安全生产综合信息平台，构建全区统一的事故隐患排查治理信息管理平台。深入开展城市风险点危险源排查整治专项行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加大消防宣传，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强化城市安全风险识别管控和隐患排查整改，加强城市安全管理，保障城市公共安全。</w:t>
      </w:r>
    </w:p>
    <w:p w14:paraId="63123247">
      <w:pPr>
        <w:snapToGrid w:val="0"/>
        <w:spacing w:before="0" w:beforeAutospacing="0" w:after="0" w:afterAutospacing="0" w:line="59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bookmarkStart w:id="265" w:name="_Hlk58147540"/>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建设广东省食品安全示范县。</w:t>
      </w:r>
      <w:bookmarkEnd w:id="265"/>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深入实施食品安全战略，严格落实党政同责和属地管理责任、生产经营者主体责任，形成严密高效、社会共治的食品安全治理体系。加强食品药品安全监管, 建立完善最严格的覆盖全过程的监管制度、食品原产地可追溯制度和质量标识制度；完善产地准出、市场准入、问题食品药品召回制度。突出加强学校校园及周边食品安全监管，针对重点食品药品、重点区域和重点时段开展食品药品安全专项整治，实施信用监管、“双随机、一公开”等新型监管机制，严惩制假、贩假等违法犯罪行为, 切实保证食品药品质量和安全。推动涵盖食品药品等监管领域的市场监管信息化监管平台建设，提高市场监管智能化、信息化水平。深入开展食品“双安双创”工作，开展食品安全示范单位、示范街的建设工作，积极打造成环境优雅、管理规范、配套设施完善的餐饮美食街、美食店。加强食品药品安全宣传教育工作。</w:t>
      </w:r>
    </w:p>
    <w:p w14:paraId="6759F420">
      <w:pPr>
        <w:pStyle w:val="60"/>
        <w:snapToGrid/>
        <w:spacing w:before="0" w:beforeAutospacing="0" w:after="0" w:afterAutospacing="0" w:line="590" w:lineRule="exact"/>
        <w:ind w:left="0" w:leftChars="0" w:firstLine="643"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全面推动智能化建设应用。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加大科技支撑力度，积极应用数字化、信息化推进平安陆丰建设，推进“民情地图”、“城市睿眼”等工程建设，建设以“大数据”为支撑的“全科网格”，构建全息感应、全域监测的社会防控体系。</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压实中网格长和小网格长、网格管理员责任，</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努力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做好涉毒、打假、消防安全、反走私、自然资源保护等领域排查管控工作。</w:t>
      </w:r>
    </w:p>
    <w:p w14:paraId="1440609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66" w:name="_Toc4157"/>
      <w:bookmarkStart w:id="267" w:name="_Toc19372"/>
      <w:bookmarkStart w:id="268" w:name="_Toc13953"/>
      <w:r>
        <w:rPr>
          <w:rFonts w:hint="eastAsia" w:ascii="黑体" w:hAnsi="黑体" w:eastAsia="黑体" w:cs="仿宋"/>
          <w:color w:val="000000" w:themeColor="text1"/>
          <w:sz w:val="32"/>
          <w:szCs w:val="32"/>
          <w:highlight w:val="none"/>
          <w14:textFill>
            <w14:solidFill>
              <w14:schemeClr w14:val="tx1"/>
            </w14:solidFill>
          </w14:textFill>
        </w:rPr>
        <w:t>第四节 提高应急管理能力</w:t>
      </w:r>
      <w:bookmarkEnd w:id="266"/>
      <w:bookmarkEnd w:id="267"/>
      <w:bookmarkEnd w:id="268"/>
    </w:p>
    <w:p w14:paraId="455A1713">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坚持人民至上、生命至上，把保护人民生命安全摆在首位，全面提高应急管理能力。</w:t>
      </w:r>
    </w:p>
    <w:p w14:paraId="2342FFFE">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完善应急管理体制。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建设统一指挥、专常兼备、反应灵敏、上下联动的应急管理体制。形成政府主导、全社会参与、各方齐抓共管、协同配合的突发事件应急管理防治格局；建成属地为主、协同联动、权责清晰、高效处置的应急决策指挥体系，制度保障、应急准备、预防预警、救援处置、恢复重建、社会协同应对等方面能力得到全面提升。防范化解重大安全风险机制不断健全，安全生产形势稳定好转，事故总量持续下降，重特大事故得到有效遏制；自然灾害防治体系健全完善，城乡社区灾害防御能力有效增强，因灾死亡人数和经济损失持续减少；应急救援能力显著提升，结构完善、布局合理、管理规范的应急力量体系全面建成；人民群众风险观念和安全感持续加强，全社会防范和应对灾害事故能力显著提升。</w:t>
      </w:r>
    </w:p>
    <w:p w14:paraId="077E0151">
      <w:pPr>
        <w:pStyle w:val="59"/>
        <w:snapToGrid/>
        <w:spacing w:before="0" w:beforeAutospacing="0" w:after="0" w:afterAutospacing="0" w:line="600" w:lineRule="exact"/>
        <w:ind w:firstLine="643" w:firstLineChars="200"/>
        <w:jc w:val="both"/>
        <w:textAlignment w:val="baseline"/>
        <w:rPr>
          <w:rFonts w:ascii="仿宋" w:hAnsi="仿宋" w:eastAsia="仿宋" w:cs="仿宋"/>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实施智慧应急信息建设。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集全域感知、动态监测、智能预警、扁平指挥、快速处置、精准监管等于一体的智慧应急体系。加强自然灾害防治能力建设，提升洪涝干旱、森林火灾、地质灾害、地震等自然灾害防御工程标准，加快江河控制性工程建设，加快病险水库除险加固，推进堤防建设，提高防御灾害能力。加强应急物资保障体系建设，推进应急救援保障工程建设，发展巨灾保险，提高防灾、减灾、抗灾、救灾能力。完善重大疫情防控机制，健全公共卫生应急管理体系，提高应对突发公共卫生事件的能力水平，织密公共卫生防护网，充分发挥党员先锋模范作用，协调发挥各方力量统筹推进防疫常态化，创造疫情防控“陆丰样本”。</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425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203C151">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专栏13-1：应急管理重大工程</w:t>
            </w:r>
          </w:p>
        </w:tc>
      </w:tr>
      <w:tr w14:paraId="0FE3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1D76806">
            <w:pPr>
              <w:pStyle w:val="24"/>
              <w:snapToGrid/>
              <w:spacing w:before="0" w:beforeAutospacing="0" w:after="12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1.智慧应急信息化建设工程；2.自然灾害防治能力提升工程；3.陆丰市应急救援保障工程；4.安全生产专项治理工程；5.基层应急管理能力提升工程；6.应急科普实训场馆建设工程。</w:t>
            </w:r>
          </w:p>
        </w:tc>
      </w:tr>
    </w:tbl>
    <w:p w14:paraId="5F1BF380">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健全消防安全体系</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加强消防规划修编与实施，结合乡村振兴战略、老旧小区和城中村改造工程、国家自然灾害防治整体建设框架等国家政策实施，推动建制镇及时编修消防专项规划。所有建制镇完成消防规划编制；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国土空间规划中</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纳入市和镇同步编制消防专项规划。逐年明确城镇消防救援站、市政消火栓等公共消防设施建设任务、完成时限，确保消防规划内容落地。制定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市消防水源建设、管理和维修的相关规定，明确建、管、维的主体责任，确保消防水源和城市新建道路同步设计、同步施工、同步交付。加快城镇消防队（站）的建设布点，</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推动所有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乡镇建立乡镇专职消防队，督促未依法建立专职消防队的大型企业完成建队任务；</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消防队（站）布局，紧盯“灭早灭小”目标，织密有效联动的村（社区）微型消防站体系，以“快出快处”的要求大力提升微型消防站战斗力，并将村（社区）微型消防站建设经费纳入属地政府财政预算。强化多层级的队站基础保障能力建设，加快推进消防站及配套设施建设工作。按照《城市消防站建设标准》，按规划新建城市消防站，完成10年以上</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老旧</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队站改造。推动城市消防站辖区面积基本达到标准规定，满足接警后5分钟内到达辖区边缘要求。</w:t>
      </w:r>
    </w:p>
    <w:p w14:paraId="62E8084A">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69" w:name="_Toc59331278"/>
      <w:bookmarkStart w:id="270" w:name="_Toc21874"/>
      <w:bookmarkStart w:id="271" w:name="_Toc6815"/>
      <w:bookmarkStart w:id="272" w:name="_Toc58320442"/>
      <w:bookmarkStart w:id="273" w:name="_Toc25727"/>
      <w:bookmarkStart w:id="274" w:name="_Toc22431"/>
      <w:r>
        <w:rPr>
          <w:rFonts w:hint="eastAsia" w:ascii="黑体" w:hAnsi="黑体" w:eastAsia="黑体" w:cs="仿宋"/>
          <w:color w:val="000000" w:themeColor="text1"/>
          <w:sz w:val="32"/>
          <w:szCs w:val="32"/>
          <w:highlight w:val="none"/>
          <w14:textFill>
            <w14:solidFill>
              <w14:schemeClr w14:val="tx1"/>
            </w14:solidFill>
          </w14:textFill>
        </w:rPr>
        <w:t xml:space="preserve">第五节 </w:t>
      </w:r>
      <w:bookmarkStart w:id="275" w:name="_Hlk58152077"/>
      <w:r>
        <w:rPr>
          <w:rFonts w:hint="eastAsia" w:ascii="黑体" w:hAnsi="黑体" w:eastAsia="黑体" w:cs="仿宋"/>
          <w:color w:val="000000" w:themeColor="text1"/>
          <w:sz w:val="32"/>
          <w:szCs w:val="32"/>
          <w:highlight w:val="none"/>
          <w14:textFill>
            <w14:solidFill>
              <w14:schemeClr w14:val="tx1"/>
            </w14:solidFill>
          </w14:textFill>
        </w:rPr>
        <w:t>维护社会稳定和安全</w:t>
      </w:r>
      <w:bookmarkEnd w:id="269"/>
      <w:bookmarkEnd w:id="270"/>
      <w:bookmarkEnd w:id="271"/>
      <w:bookmarkEnd w:id="272"/>
      <w:bookmarkEnd w:id="273"/>
      <w:bookmarkEnd w:id="274"/>
      <w:bookmarkEnd w:id="275"/>
    </w:p>
    <w:p w14:paraId="4FABF74B">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强化党建引领，以高质量的党建带动高效能的基层治理，围绕社会治安综合治理的十三个重点工作内容，调整工作思路、创新工作机制、创造新时代陆丰特色“枫桥经验”。打造无抢无盗、无黑无恶、无毒无枪、无假无骗的社会环境，巩固禁毒工作成果，扎实推进全民禁毒与全国禁毒示范城市创建等工作，确保社会大局和谐稳定。</w:t>
      </w:r>
    </w:p>
    <w:p w14:paraId="44B5CD80">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健全社会防控体系。推进社会治安综合治理创新。健全平安陆丰建设保障机制，完善司法管理机制，畅通和规范群众诉求表达、利益协调、权益保障通道，完善信访制度，完善各类调解联动工作体系，坚持专群结合、群防群治，加强社会治安防控体系建设，构建源头防控、排查梳理、纠纷化解、应急处置的社会矛盾综合治理机制。健全社会心理服务体系和危机干预机制。加强治安防控网络和信息化建设，全面推动智能化建设应用，加大科技支撑力度，积极应用数字化、信息化推进平安陆丰建设，建设以“大数据”为支撑的“全科网格”，完善“大数据+网格化+群众路线”运行管理机制，大力推进技防设施升级改造、联网运行和资源共享、综合应用，构建全息感应、全域监测的社会防控体系。</w:t>
      </w:r>
    </w:p>
    <w:p w14:paraId="6C5740C1">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强专项整治行动。维护社会政治稳定，在“1+13”专项打击整治行动基础上，围绕“无抢无盗、无黑无恶、无毒无枪、无假无骗”，启动新一轮“1+N”专项整治行动“升级版”，持续保持高压打击态势，确保社会大局和谐稳定。</w:t>
      </w:r>
    </w:p>
    <w:p w14:paraId="214CA2BB">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——打造无抢无盗环境。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强公安队伍建设，加密巡防，提高见警率，围绕“两抢一盗”高发地段时段、重点部位强化巡逻防控、重拳打击。推进科技强警计划，加大安防、技防投入力度，推进“平安陆丰三期”建设，整合各类视频监控资源，逐步扫除治安监控“盲点”，充分利用智慧新警务，以“人防+物防+技防”，对“两抢一盗”形成高压震慑。</w:t>
      </w:r>
    </w:p>
    <w:p w14:paraId="028F5660">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——打造无黑无恶环境。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坚持“有黑扫黑、无黑除恶、无恶治乱”，冲刺“线索清仓”“逃犯清零”“案件清结”“伞网清除”“黑财清底”“行业清源”工作，加大查处力度，提升办案质效。深入谋划“六建”工作，不断巩固专项斗争成果，推动专项斗争常态化，营造风清气正的社会风气。</w:t>
      </w:r>
    </w:p>
    <w:p w14:paraId="6AF7A6CC">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——打造无枪环境。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以“零容忍”的态度打击“涉枪”犯罪，强化案件攻坚，对涉案枪支进行循线溯源，坚决遏制涉枪违法犯罪活动。深化堵源截流，加强网络信息平台巡查，坚决铲除网络涉枪违法犯罪土壤，切断非法枪支流通渠道。</w:t>
      </w:r>
    </w:p>
    <w:p w14:paraId="51A31312">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——打造无假无骗环境。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强化打假攻坚，全民参与、快侦快破、从重处罚，重拳打击制假售假。把开展“打假”行动与社会信用体系建设、市场监管体系建设紧密结合起来，以打促建、边打边建，从生产、流通、消费等全方位建立市场诚信体系，打造“陆丰无假货”市场品牌。严厉打击涉电信网络诈骗犯罪</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及</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黑灰产业链，充分运用大数据，建立通话、短信、网络可疑通讯侦测模型，以立体化防控网络构建反电诈屏障，切实保障人民群众财产安全。加强互联网管理，普及网络安全知识，加强网络安全教育，强化互联网监管，加大打击利用互联网违法犯罪行为力度，营造绿色网络环境。</w:t>
      </w:r>
    </w:p>
    <w:p w14:paraId="3FBAE2F8">
      <w:pPr>
        <w:pStyle w:val="2"/>
      </w:pP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581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848AE54">
            <w:pPr>
              <w:pStyle w:val="10"/>
              <w:snapToGrid/>
              <w:spacing w:before="0" w:beforeAutospacing="0" w:after="120" w:afterAutospacing="0" w:line="400" w:lineRule="exact"/>
              <w:jc w:val="center"/>
              <w:textAlignment w:val="baseline"/>
              <w:rPr>
                <w:b/>
                <w:bCs/>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专栏13-2 “13”专项打击整治行动</w:t>
            </w:r>
          </w:p>
        </w:tc>
      </w:tr>
      <w:tr w14:paraId="02A7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07B33A5">
            <w:pPr>
              <w:pStyle w:val="10"/>
              <w:snapToGrid/>
              <w:spacing w:before="0" w:beforeAutospacing="0" w:after="12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1.打击非法加油点专项整治行动；2.打击电信网络新型违法犯罪专项行动；3.打击整治“洋垃圾”专项行动；4.打击网络侵权盗版“剑网2020”专项行动；5.打击盗采河砂海砂专项行动；6.打击制假售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专项行动；7.道路交通安全专项整治行动；8.“一打一拆三整治”专项行动；9.打击涉毒专项行动；10.打击涉枪专项行动；11打击涉盗抢专项行动；12.打击涉食药假犯罪专项行动；13.打击涉黑恶专项行动。</w:t>
            </w:r>
          </w:p>
        </w:tc>
      </w:tr>
    </w:tbl>
    <w:p w14:paraId="1A01642F">
      <w:pPr>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着力巩固禁毒成果，加快创建禁毒示范城市。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围绕打造“无毒陆丰”，突出重点、精准施策，扎实推进全国禁毒示范城市创建。要坚持以打开路，始终保持高压严打态势，严打毒品制造环节，破除毒品销售网络，打击管控毒品消费市场，通过全域全要素管控和全链条打击，全面挤压毒品犯罪空间，严防毒品问题反弹。要坚持打防并举，健全落实“大数据+网格化+主动监测+群众路线”工作机制，加快形成横向到边、纵向到底、海陆统筹、责任明确、监管到位的禁毒管理网络。要坚持综合治理，推动禁毒工作与基层党建、基层治理相结合，与乡村振兴、富民增收相结合，与加快产业培育、实现高质量发展相结合，彻底根治毒品问题。着力打造“无毒村（社区）”“无毒镇（街道）”“无毒县（市、区）”。成立禁毒工作者队伍，</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网布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城乡各地，紧盯“14类对象”和5类场所，加强重点城镇和社区巡查工作，及时巡逻防控和清查可疑重点场所、商店、物流点和废弃房屋，加强毒品防控知识宣传。进一步营造全民参与禁毒浓厚宣传氛围，筑牢禁毒防火墙。在甲子镇、甲东镇、甲西镇的重点社区，发挥驻村干部，驻村工作组和村两委干部、网格管理员的带头作用，组织实施禁毒网格化防疫防控管理。巩固“强、紧、严、齐”陆丰禁毒模式成果，以创建禁毒示范城市为新的目标，巩固禁毒整治成果，全面推进全民禁毒工程。</w:t>
      </w:r>
    </w:p>
    <w:p w14:paraId="2E709814">
      <w:pPr>
        <w:adjustRightInd w:val="0"/>
        <w:snapToGrid w:val="0"/>
        <w:spacing w:line="2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76" w:name="_Toc30658"/>
      <w:bookmarkStart w:id="277" w:name="_Toc18047"/>
      <w:bookmarkStart w:id="278" w:name="_Toc19580"/>
    </w:p>
    <w:p w14:paraId="26C38CE9">
      <w:pPr>
        <w:adjustRightInd w:val="0"/>
        <w:snapToGrid w:val="0"/>
        <w:spacing w:line="620" w:lineRule="exact"/>
        <w:jc w:val="center"/>
        <w:outlineLvl w:val="0"/>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pPr>
      <w:bookmarkStart w:id="279" w:name="_Toc1855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第十四章 </w:t>
      </w:r>
      <w:r>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t>完善规划</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实施保障</w:t>
      </w:r>
      <w:bookmarkEnd w:id="276"/>
      <w:bookmarkEnd w:id="277"/>
      <w:bookmarkEnd w:id="278"/>
      <w:r>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t>机制</w:t>
      </w:r>
      <w:bookmarkEnd w:id="279"/>
    </w:p>
    <w:p w14:paraId="2DF1523D">
      <w:pPr>
        <w:adjustRightInd w:val="0"/>
        <w:snapToGrid w:val="0"/>
        <w:spacing w:line="59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80" w:name="_Toc30503"/>
      <w:bookmarkStart w:id="281" w:name="_Toc14072"/>
      <w:bookmarkStart w:id="282" w:name="_Toc8678"/>
      <w:bookmarkStart w:id="283" w:name="_Toc1445"/>
      <w:bookmarkStart w:id="284" w:name="_Toc7367"/>
      <w:r>
        <w:rPr>
          <w:rFonts w:hint="eastAsia" w:ascii="黑体" w:hAnsi="黑体" w:eastAsia="黑体" w:cs="仿宋"/>
          <w:color w:val="000000" w:themeColor="text1"/>
          <w:sz w:val="32"/>
          <w:szCs w:val="32"/>
          <w:highlight w:val="none"/>
          <w14:textFill>
            <w14:solidFill>
              <w14:schemeClr w14:val="tx1"/>
            </w14:solidFill>
          </w14:textFill>
        </w:rPr>
        <w:t>第一节 加强组织领导</w:t>
      </w:r>
      <w:bookmarkEnd w:id="280"/>
      <w:bookmarkEnd w:id="281"/>
      <w:bookmarkEnd w:id="282"/>
      <w:bookmarkEnd w:id="283"/>
      <w:bookmarkEnd w:id="284"/>
    </w:p>
    <w:p w14:paraId="2E587ACD">
      <w:pPr>
        <w:widowControl/>
        <w:shd w:val="clear" w:color="auto" w:fill="FFFFFF"/>
        <w:snapToGrid/>
        <w:spacing w:before="0" w:beforeAutospacing="0" w:after="0" w:afterAutospacing="0" w:line="59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紧紧围绕全市各级党委（党组）的坚强领导核心，加强对规划编制实施的组织领导。建立部门联席会议制度，加强多级联动、部门协同，形成强大合力，推动规划各项重点任务和重大项目的实施。创新完善规划实施机制，组织引导市场主体参与规划实施，通过完善市场机制和利益导向机制，依靠市场主体的自主行为推动规划目标任务落实。</w:t>
      </w:r>
    </w:p>
    <w:p w14:paraId="1D4F006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85" w:name="_Toc441232731"/>
      <w:bookmarkEnd w:id="285"/>
      <w:bookmarkStart w:id="286" w:name="_Toc2930"/>
      <w:bookmarkStart w:id="287" w:name="_Toc14095"/>
      <w:bookmarkStart w:id="288" w:name="_Toc21239"/>
      <w:bookmarkStart w:id="289" w:name="_Toc21270"/>
      <w:bookmarkStart w:id="290" w:name="_Toc28646"/>
      <w:r>
        <w:rPr>
          <w:rFonts w:hint="eastAsia" w:ascii="黑体" w:hAnsi="黑体" w:eastAsia="黑体" w:cs="仿宋"/>
          <w:color w:val="000000" w:themeColor="text1"/>
          <w:sz w:val="32"/>
          <w:szCs w:val="32"/>
          <w:highlight w:val="none"/>
          <w14:textFill>
            <w14:solidFill>
              <w14:schemeClr w14:val="tx1"/>
            </w14:solidFill>
          </w14:textFill>
        </w:rPr>
        <w:t>第二节 加强规划衔接</w:t>
      </w:r>
      <w:bookmarkEnd w:id="286"/>
      <w:bookmarkEnd w:id="287"/>
      <w:bookmarkEnd w:id="288"/>
      <w:bookmarkEnd w:id="289"/>
      <w:bookmarkEnd w:id="290"/>
    </w:p>
    <w:p w14:paraId="5740B725">
      <w:pPr>
        <w:widowControl/>
        <w:shd w:val="clear" w:color="auto" w:fill="FFFFFF"/>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突出国民经济和社会发展总体规划的纲领性地位，专项规划和区域规划要切实贯彻本规划的战略意图和主要任务，做好各项指标的衔接，确保总体要求上指向一致、空间配置上相互协调、时序安排上科学有序。制定规划年度实施方案，加强年度实施方案与年度计划的衔接与协调，分解规划目标任务到各镇（街道）和相关部门，明确责任主体，细化任务分工，逐年逐项按计划落实。</w:t>
      </w:r>
    </w:p>
    <w:p w14:paraId="6750593F">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outlineLvl w:val="1"/>
        <w:rPr>
          <w:rFonts w:hint="eastAsia" w:ascii="黑体" w:hAnsi="黑体" w:eastAsia="黑体" w:cs="仿宋"/>
          <w:color w:val="000000" w:themeColor="text1"/>
          <w:sz w:val="32"/>
          <w:szCs w:val="32"/>
          <w:highlight w:val="none"/>
          <w14:textFill>
            <w14:solidFill>
              <w14:schemeClr w14:val="tx1"/>
            </w14:solidFill>
          </w14:textFill>
        </w:rPr>
      </w:pPr>
      <w:bookmarkStart w:id="291" w:name="_Toc441232732"/>
      <w:bookmarkEnd w:id="291"/>
      <w:bookmarkStart w:id="292" w:name="_Toc19690"/>
      <w:bookmarkStart w:id="293" w:name="_Toc3268"/>
      <w:bookmarkStart w:id="294" w:name="_Toc7453"/>
      <w:bookmarkStart w:id="295" w:name="_Toc29740"/>
      <w:bookmarkStart w:id="296" w:name="_Toc21441"/>
      <w:r>
        <w:rPr>
          <w:rFonts w:hint="eastAsia" w:ascii="黑体" w:hAnsi="黑体" w:eastAsia="黑体" w:cs="仿宋"/>
          <w:color w:val="000000" w:themeColor="text1"/>
          <w:sz w:val="32"/>
          <w:szCs w:val="32"/>
          <w:highlight w:val="none"/>
          <w14:textFill>
            <w14:solidFill>
              <w14:schemeClr w14:val="tx1"/>
            </w14:solidFill>
          </w14:textFill>
        </w:rPr>
        <w:t>第三节 加强实施保障</w:t>
      </w:r>
      <w:bookmarkEnd w:id="292"/>
      <w:bookmarkEnd w:id="293"/>
      <w:bookmarkEnd w:id="294"/>
      <w:bookmarkEnd w:id="295"/>
      <w:bookmarkEnd w:id="296"/>
    </w:p>
    <w:p w14:paraId="0AEB0C19">
      <w:pPr>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平台载体为支撑，以要素资源为保障，推动规划实施落地。建设一批创新发展基地等重大发展平台，集聚项目资源，健全重点项目储备库，完善项目协调推进机制，着力推进一批重大项目建设，为规划有效落实提供有力支撑。优化财政支出结构和政府投资结构，科学调控土地供应，加强资金、土地、人力资源等要素对规划实施的保障作用，优先满足政府投资重大项目对资金、土地等要素的需求。</w:t>
      </w:r>
    </w:p>
    <w:p w14:paraId="28A25FA4">
      <w:pPr>
        <w:keepNext w:val="0"/>
        <w:keepLines w:val="0"/>
        <w:pageBreakBefore w:val="0"/>
        <w:widowControl w:val="0"/>
        <w:kinsoku/>
        <w:wordWrap/>
        <w:overflowPunct/>
        <w:topLinePunct w:val="0"/>
        <w:autoSpaceDE/>
        <w:autoSpaceDN/>
        <w:bidi w:val="0"/>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97" w:name="_Toc23299"/>
      <w:bookmarkStart w:id="298" w:name="_Toc12026"/>
      <w:bookmarkStart w:id="299" w:name="_Toc8847"/>
      <w:bookmarkStart w:id="300" w:name="_Toc6697"/>
      <w:bookmarkStart w:id="301" w:name="_Toc19661"/>
      <w:r>
        <w:rPr>
          <w:rFonts w:hint="eastAsia" w:ascii="黑体" w:hAnsi="黑体" w:eastAsia="黑体" w:cs="仿宋"/>
          <w:color w:val="000000" w:themeColor="text1"/>
          <w:sz w:val="32"/>
          <w:szCs w:val="32"/>
          <w:highlight w:val="none"/>
          <w14:textFill>
            <w14:solidFill>
              <w14:schemeClr w14:val="tx1"/>
            </w14:solidFill>
          </w14:textFill>
        </w:rPr>
        <w:t>第四节 加强监督考评</w:t>
      </w:r>
      <w:bookmarkEnd w:id="297"/>
      <w:bookmarkEnd w:id="298"/>
      <w:bookmarkEnd w:id="299"/>
      <w:bookmarkEnd w:id="300"/>
      <w:bookmarkEnd w:id="301"/>
      <w:r>
        <w:rPr>
          <w:rFonts w:hint="eastAsia" w:ascii="黑体" w:hAnsi="黑体" w:eastAsia="黑体" w:cs="仿宋"/>
          <w:color w:val="000000" w:themeColor="text1"/>
          <w:sz w:val="32"/>
          <w:szCs w:val="32"/>
          <w:highlight w:val="none"/>
          <w14:textFill>
            <w14:solidFill>
              <w14:schemeClr w14:val="tx1"/>
            </w14:solidFill>
          </w14:textFill>
        </w:rPr>
        <w:t xml:space="preserve"> </w:t>
      </w:r>
    </w:p>
    <w:p w14:paraId="162626C5">
      <w:pPr>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302" w:name="_Toc441232733"/>
      <w:bookmarkEnd w:id="302"/>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规划实施考核制度，把规划确定的目标任务纳入绩效考核内容，将责任落实到人。完善规划中期评估制度，分析实施效果，及时查找问题、解决问题，并据此适度调整规划目标和任务。加强宣传监督，落实信息公开制度，及时公开规划实施情况，主动接受社会监督，进一步凝聚社会共识，激发发展热情。</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00000" w:csb1="00000000"/>
  </w:font>
  <w:font w:name="Lucida Sans">
    <w:altName w:val="Lucida Sans Unicode"/>
    <w:panose1 w:val="020B0602030504020204"/>
    <w:charset w:val="01"/>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2CA8">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76AF8">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I</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7176AF8">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I</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2BD4">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76401">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AB76401">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712606"/>
      <w:docPartObj>
        <w:docPartGallery w:val="autotext"/>
      </w:docPartObj>
    </w:sdtPr>
    <w:sdtContent>
      <w:p w14:paraId="759DC3EC">
        <w:pPr>
          <w:pStyle w:val="19"/>
          <w:jc w:val="center"/>
        </w:pPr>
      </w:p>
    </w:sdtContent>
  </w:sdt>
  <w:p w14:paraId="7498E5A0">
    <w:pPr>
      <w:pStyle w:val="1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7A"/>
    <w:rsid w:val="00046AAB"/>
    <w:rsid w:val="00055C80"/>
    <w:rsid w:val="000629E3"/>
    <w:rsid w:val="00064984"/>
    <w:rsid w:val="00064CD5"/>
    <w:rsid w:val="00075936"/>
    <w:rsid w:val="000809BE"/>
    <w:rsid w:val="000908B0"/>
    <w:rsid w:val="00090D10"/>
    <w:rsid w:val="00095A68"/>
    <w:rsid w:val="000A1A93"/>
    <w:rsid w:val="000B40A6"/>
    <w:rsid w:val="000B4DEB"/>
    <w:rsid w:val="000B5300"/>
    <w:rsid w:val="000D4190"/>
    <w:rsid w:val="000E7207"/>
    <w:rsid w:val="001036B6"/>
    <w:rsid w:val="0012265D"/>
    <w:rsid w:val="00136E0C"/>
    <w:rsid w:val="00142B97"/>
    <w:rsid w:val="0016553D"/>
    <w:rsid w:val="00175D62"/>
    <w:rsid w:val="00187151"/>
    <w:rsid w:val="0019410E"/>
    <w:rsid w:val="001A1287"/>
    <w:rsid w:val="001B5211"/>
    <w:rsid w:val="001C077C"/>
    <w:rsid w:val="001D32B2"/>
    <w:rsid w:val="001D7A2E"/>
    <w:rsid w:val="001E0B60"/>
    <w:rsid w:val="001E64B3"/>
    <w:rsid w:val="001F05D3"/>
    <w:rsid w:val="001F2E8C"/>
    <w:rsid w:val="00204D04"/>
    <w:rsid w:val="00214C5D"/>
    <w:rsid w:val="00220AB5"/>
    <w:rsid w:val="00220CDE"/>
    <w:rsid w:val="00223B1C"/>
    <w:rsid w:val="002353B1"/>
    <w:rsid w:val="00240E88"/>
    <w:rsid w:val="00241410"/>
    <w:rsid w:val="00251E98"/>
    <w:rsid w:val="0025436F"/>
    <w:rsid w:val="00263783"/>
    <w:rsid w:val="00276E42"/>
    <w:rsid w:val="00286354"/>
    <w:rsid w:val="00287856"/>
    <w:rsid w:val="00295109"/>
    <w:rsid w:val="002A4CA0"/>
    <w:rsid w:val="002C0222"/>
    <w:rsid w:val="002C26F6"/>
    <w:rsid w:val="002C33A0"/>
    <w:rsid w:val="002C5E32"/>
    <w:rsid w:val="002D0981"/>
    <w:rsid w:val="002D4DCD"/>
    <w:rsid w:val="002E748C"/>
    <w:rsid w:val="002E74E1"/>
    <w:rsid w:val="002E754B"/>
    <w:rsid w:val="002F1270"/>
    <w:rsid w:val="002F6FF6"/>
    <w:rsid w:val="00301B1D"/>
    <w:rsid w:val="00312993"/>
    <w:rsid w:val="00321718"/>
    <w:rsid w:val="00322A6C"/>
    <w:rsid w:val="00322AF3"/>
    <w:rsid w:val="003364DC"/>
    <w:rsid w:val="00337B9B"/>
    <w:rsid w:val="00357729"/>
    <w:rsid w:val="00366386"/>
    <w:rsid w:val="0038508C"/>
    <w:rsid w:val="00392537"/>
    <w:rsid w:val="003945D9"/>
    <w:rsid w:val="003A2FB2"/>
    <w:rsid w:val="003A5D5F"/>
    <w:rsid w:val="003B15F1"/>
    <w:rsid w:val="003B3E27"/>
    <w:rsid w:val="003B5CEF"/>
    <w:rsid w:val="003C3736"/>
    <w:rsid w:val="003C719C"/>
    <w:rsid w:val="003D44BB"/>
    <w:rsid w:val="003D4948"/>
    <w:rsid w:val="003E2E84"/>
    <w:rsid w:val="003F269F"/>
    <w:rsid w:val="0040107A"/>
    <w:rsid w:val="0045518F"/>
    <w:rsid w:val="00463A33"/>
    <w:rsid w:val="00474273"/>
    <w:rsid w:val="00474EF4"/>
    <w:rsid w:val="00482CC3"/>
    <w:rsid w:val="0049265D"/>
    <w:rsid w:val="004A1983"/>
    <w:rsid w:val="004A2FAF"/>
    <w:rsid w:val="004C21D3"/>
    <w:rsid w:val="004D457B"/>
    <w:rsid w:val="004E4772"/>
    <w:rsid w:val="004F420A"/>
    <w:rsid w:val="005019DA"/>
    <w:rsid w:val="00515767"/>
    <w:rsid w:val="0051632C"/>
    <w:rsid w:val="00516CF1"/>
    <w:rsid w:val="00521D67"/>
    <w:rsid w:val="00540D02"/>
    <w:rsid w:val="005463A9"/>
    <w:rsid w:val="00547267"/>
    <w:rsid w:val="00550C6F"/>
    <w:rsid w:val="00557CD0"/>
    <w:rsid w:val="00561415"/>
    <w:rsid w:val="00563B1C"/>
    <w:rsid w:val="00565858"/>
    <w:rsid w:val="00572D51"/>
    <w:rsid w:val="005A110E"/>
    <w:rsid w:val="005A1DE1"/>
    <w:rsid w:val="005B346A"/>
    <w:rsid w:val="005B4BE0"/>
    <w:rsid w:val="005C4BFF"/>
    <w:rsid w:val="005C7E8E"/>
    <w:rsid w:val="005D5D1D"/>
    <w:rsid w:val="005E03B5"/>
    <w:rsid w:val="005E0BD4"/>
    <w:rsid w:val="005F5598"/>
    <w:rsid w:val="006017B1"/>
    <w:rsid w:val="00623A6C"/>
    <w:rsid w:val="00623DE7"/>
    <w:rsid w:val="00627724"/>
    <w:rsid w:val="0067771A"/>
    <w:rsid w:val="00681FD2"/>
    <w:rsid w:val="006821DA"/>
    <w:rsid w:val="00685978"/>
    <w:rsid w:val="00686104"/>
    <w:rsid w:val="00686E64"/>
    <w:rsid w:val="006A5266"/>
    <w:rsid w:val="006B318E"/>
    <w:rsid w:val="006C012B"/>
    <w:rsid w:val="006D3722"/>
    <w:rsid w:val="00702F0E"/>
    <w:rsid w:val="007257B8"/>
    <w:rsid w:val="00737614"/>
    <w:rsid w:val="00741B52"/>
    <w:rsid w:val="00741E3A"/>
    <w:rsid w:val="00743159"/>
    <w:rsid w:val="00767571"/>
    <w:rsid w:val="007772EC"/>
    <w:rsid w:val="0078706E"/>
    <w:rsid w:val="007877EE"/>
    <w:rsid w:val="007958A8"/>
    <w:rsid w:val="007A4526"/>
    <w:rsid w:val="007A6DC8"/>
    <w:rsid w:val="007A7965"/>
    <w:rsid w:val="007C2E6E"/>
    <w:rsid w:val="007D0F10"/>
    <w:rsid w:val="00800762"/>
    <w:rsid w:val="00804CC5"/>
    <w:rsid w:val="0081386D"/>
    <w:rsid w:val="00823793"/>
    <w:rsid w:val="00832986"/>
    <w:rsid w:val="00842C73"/>
    <w:rsid w:val="0085114A"/>
    <w:rsid w:val="00853C37"/>
    <w:rsid w:val="0086130D"/>
    <w:rsid w:val="0086356F"/>
    <w:rsid w:val="0087385F"/>
    <w:rsid w:val="00882CC3"/>
    <w:rsid w:val="0089355D"/>
    <w:rsid w:val="008B66F6"/>
    <w:rsid w:val="008B7214"/>
    <w:rsid w:val="008C6EAA"/>
    <w:rsid w:val="008D64BB"/>
    <w:rsid w:val="008D7693"/>
    <w:rsid w:val="008E1B4E"/>
    <w:rsid w:val="008E5111"/>
    <w:rsid w:val="008F75A1"/>
    <w:rsid w:val="008F768C"/>
    <w:rsid w:val="00904BD1"/>
    <w:rsid w:val="00906B97"/>
    <w:rsid w:val="00933D9E"/>
    <w:rsid w:val="009342DE"/>
    <w:rsid w:val="00935091"/>
    <w:rsid w:val="00956FCE"/>
    <w:rsid w:val="00967922"/>
    <w:rsid w:val="00983492"/>
    <w:rsid w:val="009871F8"/>
    <w:rsid w:val="009A2BC7"/>
    <w:rsid w:val="009A406E"/>
    <w:rsid w:val="009A5B3A"/>
    <w:rsid w:val="009B68C9"/>
    <w:rsid w:val="009C2FF4"/>
    <w:rsid w:val="009E0E9D"/>
    <w:rsid w:val="009E3BD1"/>
    <w:rsid w:val="009F5983"/>
    <w:rsid w:val="009F7302"/>
    <w:rsid w:val="00A26AFB"/>
    <w:rsid w:val="00A3476E"/>
    <w:rsid w:val="00A410CB"/>
    <w:rsid w:val="00A45618"/>
    <w:rsid w:val="00A46474"/>
    <w:rsid w:val="00A556EC"/>
    <w:rsid w:val="00A557F6"/>
    <w:rsid w:val="00A64850"/>
    <w:rsid w:val="00A66BA9"/>
    <w:rsid w:val="00AA5AE3"/>
    <w:rsid w:val="00AC301D"/>
    <w:rsid w:val="00AC62D8"/>
    <w:rsid w:val="00AC7898"/>
    <w:rsid w:val="00AF259D"/>
    <w:rsid w:val="00AF6193"/>
    <w:rsid w:val="00B00BF4"/>
    <w:rsid w:val="00B0541E"/>
    <w:rsid w:val="00B111FF"/>
    <w:rsid w:val="00B13555"/>
    <w:rsid w:val="00B3156C"/>
    <w:rsid w:val="00B329FF"/>
    <w:rsid w:val="00B34E8F"/>
    <w:rsid w:val="00B35F9B"/>
    <w:rsid w:val="00B40C3E"/>
    <w:rsid w:val="00B453C7"/>
    <w:rsid w:val="00B47BE1"/>
    <w:rsid w:val="00B52AC6"/>
    <w:rsid w:val="00B62AD1"/>
    <w:rsid w:val="00B63D94"/>
    <w:rsid w:val="00B663ED"/>
    <w:rsid w:val="00B74AF0"/>
    <w:rsid w:val="00B84834"/>
    <w:rsid w:val="00B86035"/>
    <w:rsid w:val="00B86BC0"/>
    <w:rsid w:val="00B91F1F"/>
    <w:rsid w:val="00B92E34"/>
    <w:rsid w:val="00BA6FF7"/>
    <w:rsid w:val="00BC5FA2"/>
    <w:rsid w:val="00BC7D79"/>
    <w:rsid w:val="00BE4804"/>
    <w:rsid w:val="00C01C8F"/>
    <w:rsid w:val="00C10D67"/>
    <w:rsid w:val="00C12B70"/>
    <w:rsid w:val="00C15047"/>
    <w:rsid w:val="00C270E7"/>
    <w:rsid w:val="00C30E78"/>
    <w:rsid w:val="00C33651"/>
    <w:rsid w:val="00C36570"/>
    <w:rsid w:val="00C56E51"/>
    <w:rsid w:val="00C644FB"/>
    <w:rsid w:val="00C64BAF"/>
    <w:rsid w:val="00C74632"/>
    <w:rsid w:val="00C83831"/>
    <w:rsid w:val="00C95407"/>
    <w:rsid w:val="00C97A2C"/>
    <w:rsid w:val="00CA0455"/>
    <w:rsid w:val="00CA7D54"/>
    <w:rsid w:val="00CB2AFA"/>
    <w:rsid w:val="00CB5094"/>
    <w:rsid w:val="00CC0148"/>
    <w:rsid w:val="00CD2380"/>
    <w:rsid w:val="00CD3E14"/>
    <w:rsid w:val="00CD6BAD"/>
    <w:rsid w:val="00CE4F55"/>
    <w:rsid w:val="00D045E1"/>
    <w:rsid w:val="00D075CC"/>
    <w:rsid w:val="00D129C2"/>
    <w:rsid w:val="00D32CA1"/>
    <w:rsid w:val="00D41A30"/>
    <w:rsid w:val="00D42D38"/>
    <w:rsid w:val="00D45173"/>
    <w:rsid w:val="00D540D9"/>
    <w:rsid w:val="00D56B5A"/>
    <w:rsid w:val="00D608E8"/>
    <w:rsid w:val="00D64D8A"/>
    <w:rsid w:val="00D7709B"/>
    <w:rsid w:val="00D82BB4"/>
    <w:rsid w:val="00D93670"/>
    <w:rsid w:val="00DB209F"/>
    <w:rsid w:val="00DB7C7F"/>
    <w:rsid w:val="00DC2299"/>
    <w:rsid w:val="00DE283C"/>
    <w:rsid w:val="00DF007A"/>
    <w:rsid w:val="00DF1FFB"/>
    <w:rsid w:val="00DF4B24"/>
    <w:rsid w:val="00E0399F"/>
    <w:rsid w:val="00E14D89"/>
    <w:rsid w:val="00E221DE"/>
    <w:rsid w:val="00E248E2"/>
    <w:rsid w:val="00E57EFC"/>
    <w:rsid w:val="00E85C5A"/>
    <w:rsid w:val="00E933B4"/>
    <w:rsid w:val="00EB72A5"/>
    <w:rsid w:val="00ED0A59"/>
    <w:rsid w:val="00EF5910"/>
    <w:rsid w:val="00F00205"/>
    <w:rsid w:val="00F01116"/>
    <w:rsid w:val="00F061F9"/>
    <w:rsid w:val="00F0699E"/>
    <w:rsid w:val="00F10CF9"/>
    <w:rsid w:val="00F1619B"/>
    <w:rsid w:val="00F23E3A"/>
    <w:rsid w:val="00F32ECB"/>
    <w:rsid w:val="00F43877"/>
    <w:rsid w:val="00F47248"/>
    <w:rsid w:val="00F55FF6"/>
    <w:rsid w:val="00F56158"/>
    <w:rsid w:val="00F71223"/>
    <w:rsid w:val="00F7123D"/>
    <w:rsid w:val="00F7629F"/>
    <w:rsid w:val="00F8071D"/>
    <w:rsid w:val="00F822E8"/>
    <w:rsid w:val="00F925A9"/>
    <w:rsid w:val="00FA0B4E"/>
    <w:rsid w:val="00FA361F"/>
    <w:rsid w:val="00FB6C15"/>
    <w:rsid w:val="00FC294C"/>
    <w:rsid w:val="00FD15F9"/>
    <w:rsid w:val="00FD4DE3"/>
    <w:rsid w:val="00FD7605"/>
    <w:rsid w:val="00FD7DB7"/>
    <w:rsid w:val="00FE389C"/>
    <w:rsid w:val="00FE4F93"/>
    <w:rsid w:val="00FF4DE0"/>
    <w:rsid w:val="01005756"/>
    <w:rsid w:val="010B6039"/>
    <w:rsid w:val="013A3B33"/>
    <w:rsid w:val="0154539F"/>
    <w:rsid w:val="0182782E"/>
    <w:rsid w:val="020D6BFB"/>
    <w:rsid w:val="021162A6"/>
    <w:rsid w:val="02273865"/>
    <w:rsid w:val="02366FFA"/>
    <w:rsid w:val="024577C5"/>
    <w:rsid w:val="025059C2"/>
    <w:rsid w:val="02690CE7"/>
    <w:rsid w:val="028B1C7E"/>
    <w:rsid w:val="02AE6F80"/>
    <w:rsid w:val="02DA6F51"/>
    <w:rsid w:val="02F70F25"/>
    <w:rsid w:val="0319644A"/>
    <w:rsid w:val="032C4272"/>
    <w:rsid w:val="03351A39"/>
    <w:rsid w:val="0335527C"/>
    <w:rsid w:val="03421A86"/>
    <w:rsid w:val="03451C55"/>
    <w:rsid w:val="034A6B69"/>
    <w:rsid w:val="035A2E65"/>
    <w:rsid w:val="035C2B1E"/>
    <w:rsid w:val="035F4BFF"/>
    <w:rsid w:val="037A4642"/>
    <w:rsid w:val="03851372"/>
    <w:rsid w:val="0392000D"/>
    <w:rsid w:val="03B3317D"/>
    <w:rsid w:val="03F406C6"/>
    <w:rsid w:val="03F458F9"/>
    <w:rsid w:val="03F868E1"/>
    <w:rsid w:val="0404151F"/>
    <w:rsid w:val="04131283"/>
    <w:rsid w:val="041570BB"/>
    <w:rsid w:val="043221BA"/>
    <w:rsid w:val="044B100E"/>
    <w:rsid w:val="0456777B"/>
    <w:rsid w:val="0479693F"/>
    <w:rsid w:val="04822527"/>
    <w:rsid w:val="048D7AF8"/>
    <w:rsid w:val="048E6181"/>
    <w:rsid w:val="049C428F"/>
    <w:rsid w:val="04AA2D48"/>
    <w:rsid w:val="04C142C9"/>
    <w:rsid w:val="04CC2F01"/>
    <w:rsid w:val="04D54670"/>
    <w:rsid w:val="05241EB9"/>
    <w:rsid w:val="05611732"/>
    <w:rsid w:val="056D578B"/>
    <w:rsid w:val="058647D1"/>
    <w:rsid w:val="05E5642C"/>
    <w:rsid w:val="05E94C46"/>
    <w:rsid w:val="061974FC"/>
    <w:rsid w:val="0642298A"/>
    <w:rsid w:val="06736D9B"/>
    <w:rsid w:val="06A34CF1"/>
    <w:rsid w:val="06E717BD"/>
    <w:rsid w:val="071811B5"/>
    <w:rsid w:val="071E61E5"/>
    <w:rsid w:val="0731569A"/>
    <w:rsid w:val="07523755"/>
    <w:rsid w:val="07663357"/>
    <w:rsid w:val="078063E4"/>
    <w:rsid w:val="07874C23"/>
    <w:rsid w:val="07A21836"/>
    <w:rsid w:val="07DA160C"/>
    <w:rsid w:val="07DC28D3"/>
    <w:rsid w:val="07E11787"/>
    <w:rsid w:val="07E52A71"/>
    <w:rsid w:val="07FD2D98"/>
    <w:rsid w:val="080F009B"/>
    <w:rsid w:val="08166F65"/>
    <w:rsid w:val="08370F52"/>
    <w:rsid w:val="083D0018"/>
    <w:rsid w:val="085D4889"/>
    <w:rsid w:val="0866534D"/>
    <w:rsid w:val="08775975"/>
    <w:rsid w:val="088A4FBA"/>
    <w:rsid w:val="0891748F"/>
    <w:rsid w:val="08994CDF"/>
    <w:rsid w:val="08A34EFD"/>
    <w:rsid w:val="08AF59D6"/>
    <w:rsid w:val="08B938FD"/>
    <w:rsid w:val="08F615B5"/>
    <w:rsid w:val="092D453C"/>
    <w:rsid w:val="09322709"/>
    <w:rsid w:val="09426F3A"/>
    <w:rsid w:val="094E6C4A"/>
    <w:rsid w:val="09A94097"/>
    <w:rsid w:val="09FD0D24"/>
    <w:rsid w:val="0A102F45"/>
    <w:rsid w:val="0A19031B"/>
    <w:rsid w:val="0A2704D4"/>
    <w:rsid w:val="0A280E6B"/>
    <w:rsid w:val="0A2C2751"/>
    <w:rsid w:val="0A5B55BA"/>
    <w:rsid w:val="0A8C7A7A"/>
    <w:rsid w:val="0A9F371F"/>
    <w:rsid w:val="0AAD521E"/>
    <w:rsid w:val="0AE50388"/>
    <w:rsid w:val="0AF94282"/>
    <w:rsid w:val="0AFC2F4F"/>
    <w:rsid w:val="0B011562"/>
    <w:rsid w:val="0B137A1B"/>
    <w:rsid w:val="0B1B4CF8"/>
    <w:rsid w:val="0B67347C"/>
    <w:rsid w:val="0B710514"/>
    <w:rsid w:val="0B7416A9"/>
    <w:rsid w:val="0B756FAF"/>
    <w:rsid w:val="0B78221C"/>
    <w:rsid w:val="0BAE6DBE"/>
    <w:rsid w:val="0BC06A95"/>
    <w:rsid w:val="0BC71737"/>
    <w:rsid w:val="0C040F06"/>
    <w:rsid w:val="0C9048C4"/>
    <w:rsid w:val="0CB86922"/>
    <w:rsid w:val="0CE2456F"/>
    <w:rsid w:val="0CFA51DC"/>
    <w:rsid w:val="0D2F4E38"/>
    <w:rsid w:val="0D841BE1"/>
    <w:rsid w:val="0DA014B1"/>
    <w:rsid w:val="0DA82CC0"/>
    <w:rsid w:val="0DAB2DDE"/>
    <w:rsid w:val="0DB05DBC"/>
    <w:rsid w:val="0DF25C9D"/>
    <w:rsid w:val="0DF5590B"/>
    <w:rsid w:val="0E13284E"/>
    <w:rsid w:val="0E165D0D"/>
    <w:rsid w:val="0E31543A"/>
    <w:rsid w:val="0E3A79AB"/>
    <w:rsid w:val="0E54759D"/>
    <w:rsid w:val="0E691FB7"/>
    <w:rsid w:val="0E6E4135"/>
    <w:rsid w:val="0E74560C"/>
    <w:rsid w:val="0E9959A5"/>
    <w:rsid w:val="0EEB78EA"/>
    <w:rsid w:val="0F4C58D6"/>
    <w:rsid w:val="0F9B498C"/>
    <w:rsid w:val="0FB266F3"/>
    <w:rsid w:val="0FB317EC"/>
    <w:rsid w:val="0FB82469"/>
    <w:rsid w:val="0FBD63CA"/>
    <w:rsid w:val="0FF86781"/>
    <w:rsid w:val="10081A1C"/>
    <w:rsid w:val="10326BE5"/>
    <w:rsid w:val="104766CA"/>
    <w:rsid w:val="10656069"/>
    <w:rsid w:val="108470CC"/>
    <w:rsid w:val="108A5C10"/>
    <w:rsid w:val="108B346E"/>
    <w:rsid w:val="10B27F67"/>
    <w:rsid w:val="10BF0D9C"/>
    <w:rsid w:val="10D8128F"/>
    <w:rsid w:val="10F1136E"/>
    <w:rsid w:val="10F74CDD"/>
    <w:rsid w:val="111E583E"/>
    <w:rsid w:val="11234EAC"/>
    <w:rsid w:val="11280CE5"/>
    <w:rsid w:val="1132222C"/>
    <w:rsid w:val="11603D54"/>
    <w:rsid w:val="11714C09"/>
    <w:rsid w:val="118D6C1F"/>
    <w:rsid w:val="11D06C16"/>
    <w:rsid w:val="11D94C17"/>
    <w:rsid w:val="11E05E39"/>
    <w:rsid w:val="1209634E"/>
    <w:rsid w:val="120E0D4E"/>
    <w:rsid w:val="122A1885"/>
    <w:rsid w:val="123F066B"/>
    <w:rsid w:val="125B18F8"/>
    <w:rsid w:val="126B578B"/>
    <w:rsid w:val="12A44C23"/>
    <w:rsid w:val="12B419C0"/>
    <w:rsid w:val="12CB5CF0"/>
    <w:rsid w:val="12D96805"/>
    <w:rsid w:val="12EC5C86"/>
    <w:rsid w:val="13256918"/>
    <w:rsid w:val="137B3C54"/>
    <w:rsid w:val="138024DE"/>
    <w:rsid w:val="139738BB"/>
    <w:rsid w:val="13A84382"/>
    <w:rsid w:val="13B627D1"/>
    <w:rsid w:val="13D5076C"/>
    <w:rsid w:val="13FF783C"/>
    <w:rsid w:val="14172142"/>
    <w:rsid w:val="14540124"/>
    <w:rsid w:val="145F34CA"/>
    <w:rsid w:val="14606C62"/>
    <w:rsid w:val="14710D2A"/>
    <w:rsid w:val="14A4004A"/>
    <w:rsid w:val="14E75EF3"/>
    <w:rsid w:val="14FF6842"/>
    <w:rsid w:val="1500100A"/>
    <w:rsid w:val="155311EC"/>
    <w:rsid w:val="156435DE"/>
    <w:rsid w:val="15871783"/>
    <w:rsid w:val="158D7D50"/>
    <w:rsid w:val="159B0B2D"/>
    <w:rsid w:val="15B672B1"/>
    <w:rsid w:val="15C7219A"/>
    <w:rsid w:val="15DE297A"/>
    <w:rsid w:val="15FB0965"/>
    <w:rsid w:val="16110CF3"/>
    <w:rsid w:val="167D54B6"/>
    <w:rsid w:val="16903BCF"/>
    <w:rsid w:val="16E33633"/>
    <w:rsid w:val="16F62377"/>
    <w:rsid w:val="170137D9"/>
    <w:rsid w:val="171432AF"/>
    <w:rsid w:val="171B286D"/>
    <w:rsid w:val="172120AF"/>
    <w:rsid w:val="173A1A6A"/>
    <w:rsid w:val="173E3BCE"/>
    <w:rsid w:val="17667CCB"/>
    <w:rsid w:val="176A5D8F"/>
    <w:rsid w:val="177B54F5"/>
    <w:rsid w:val="17817BFA"/>
    <w:rsid w:val="179646AC"/>
    <w:rsid w:val="17C12F1C"/>
    <w:rsid w:val="17C5452A"/>
    <w:rsid w:val="17C72CA2"/>
    <w:rsid w:val="17CD5DF9"/>
    <w:rsid w:val="17F0215C"/>
    <w:rsid w:val="17FB4A17"/>
    <w:rsid w:val="18440654"/>
    <w:rsid w:val="18497648"/>
    <w:rsid w:val="18536F1F"/>
    <w:rsid w:val="186C5001"/>
    <w:rsid w:val="18840A2F"/>
    <w:rsid w:val="189A1A2D"/>
    <w:rsid w:val="18F46BB4"/>
    <w:rsid w:val="18FE0C3F"/>
    <w:rsid w:val="190D0F6D"/>
    <w:rsid w:val="1958652E"/>
    <w:rsid w:val="195C4D92"/>
    <w:rsid w:val="19936BE4"/>
    <w:rsid w:val="19995CF2"/>
    <w:rsid w:val="199F382C"/>
    <w:rsid w:val="19B46E59"/>
    <w:rsid w:val="19CE1A1A"/>
    <w:rsid w:val="19D81790"/>
    <w:rsid w:val="1A07492D"/>
    <w:rsid w:val="1A252BA8"/>
    <w:rsid w:val="1A755A0D"/>
    <w:rsid w:val="1A8D1EAE"/>
    <w:rsid w:val="1A8D36CF"/>
    <w:rsid w:val="1AAC799F"/>
    <w:rsid w:val="1AB70734"/>
    <w:rsid w:val="1AC17179"/>
    <w:rsid w:val="1AFD018C"/>
    <w:rsid w:val="1B33036A"/>
    <w:rsid w:val="1B3305F5"/>
    <w:rsid w:val="1B396315"/>
    <w:rsid w:val="1B4A6381"/>
    <w:rsid w:val="1B597457"/>
    <w:rsid w:val="1B707A4A"/>
    <w:rsid w:val="1B877265"/>
    <w:rsid w:val="1B936F11"/>
    <w:rsid w:val="1BCC377F"/>
    <w:rsid w:val="1C03328A"/>
    <w:rsid w:val="1C08046B"/>
    <w:rsid w:val="1C2C461B"/>
    <w:rsid w:val="1C360188"/>
    <w:rsid w:val="1C5A3B19"/>
    <w:rsid w:val="1C76336F"/>
    <w:rsid w:val="1C952B3D"/>
    <w:rsid w:val="1CBF5CD4"/>
    <w:rsid w:val="1CC85741"/>
    <w:rsid w:val="1CE45C9C"/>
    <w:rsid w:val="1D062189"/>
    <w:rsid w:val="1D2452DC"/>
    <w:rsid w:val="1D2F7701"/>
    <w:rsid w:val="1D316B88"/>
    <w:rsid w:val="1D3769F5"/>
    <w:rsid w:val="1D56380F"/>
    <w:rsid w:val="1D63160D"/>
    <w:rsid w:val="1DAD0D61"/>
    <w:rsid w:val="1DAE1A84"/>
    <w:rsid w:val="1DB30841"/>
    <w:rsid w:val="1DB51EFE"/>
    <w:rsid w:val="1DD52607"/>
    <w:rsid w:val="1E160E36"/>
    <w:rsid w:val="1E4235E0"/>
    <w:rsid w:val="1E8A35CB"/>
    <w:rsid w:val="1E8E77E0"/>
    <w:rsid w:val="1ECE0E38"/>
    <w:rsid w:val="1F116933"/>
    <w:rsid w:val="1F1B1809"/>
    <w:rsid w:val="1F3A7D11"/>
    <w:rsid w:val="1F7D5AB7"/>
    <w:rsid w:val="1FB92C8C"/>
    <w:rsid w:val="1FBF5AB0"/>
    <w:rsid w:val="1FFE63B6"/>
    <w:rsid w:val="201857D9"/>
    <w:rsid w:val="201D5509"/>
    <w:rsid w:val="20373680"/>
    <w:rsid w:val="20434851"/>
    <w:rsid w:val="2069298F"/>
    <w:rsid w:val="20857D2F"/>
    <w:rsid w:val="20AB7316"/>
    <w:rsid w:val="20B014CA"/>
    <w:rsid w:val="20B51AFC"/>
    <w:rsid w:val="20B82F13"/>
    <w:rsid w:val="20C16490"/>
    <w:rsid w:val="20EF78CE"/>
    <w:rsid w:val="21021A56"/>
    <w:rsid w:val="21084EE1"/>
    <w:rsid w:val="211275D7"/>
    <w:rsid w:val="212555CC"/>
    <w:rsid w:val="212860D0"/>
    <w:rsid w:val="213D5711"/>
    <w:rsid w:val="2151160A"/>
    <w:rsid w:val="21627E65"/>
    <w:rsid w:val="21706B68"/>
    <w:rsid w:val="21794AFD"/>
    <w:rsid w:val="21812CFD"/>
    <w:rsid w:val="2181354E"/>
    <w:rsid w:val="21884F95"/>
    <w:rsid w:val="21A13DF2"/>
    <w:rsid w:val="21C369AF"/>
    <w:rsid w:val="21EE0C9D"/>
    <w:rsid w:val="220A3B85"/>
    <w:rsid w:val="221D4040"/>
    <w:rsid w:val="222647E8"/>
    <w:rsid w:val="2237311B"/>
    <w:rsid w:val="225F56E3"/>
    <w:rsid w:val="22742C6C"/>
    <w:rsid w:val="228C44B6"/>
    <w:rsid w:val="22ED60C2"/>
    <w:rsid w:val="23113241"/>
    <w:rsid w:val="23594AE3"/>
    <w:rsid w:val="236679DC"/>
    <w:rsid w:val="23737235"/>
    <w:rsid w:val="23B044BF"/>
    <w:rsid w:val="23DD757B"/>
    <w:rsid w:val="23E15048"/>
    <w:rsid w:val="243A5F6B"/>
    <w:rsid w:val="24891B26"/>
    <w:rsid w:val="24975032"/>
    <w:rsid w:val="24B63E0E"/>
    <w:rsid w:val="25330F4C"/>
    <w:rsid w:val="25461FBF"/>
    <w:rsid w:val="254E6757"/>
    <w:rsid w:val="25526E04"/>
    <w:rsid w:val="255D63AE"/>
    <w:rsid w:val="257D5ADD"/>
    <w:rsid w:val="25894E3B"/>
    <w:rsid w:val="258E2A0C"/>
    <w:rsid w:val="25921660"/>
    <w:rsid w:val="25AB5092"/>
    <w:rsid w:val="25C33F83"/>
    <w:rsid w:val="26045DC0"/>
    <w:rsid w:val="2605184F"/>
    <w:rsid w:val="260E06C1"/>
    <w:rsid w:val="264A1C52"/>
    <w:rsid w:val="26644187"/>
    <w:rsid w:val="26C63A18"/>
    <w:rsid w:val="27110C09"/>
    <w:rsid w:val="271133FB"/>
    <w:rsid w:val="277652E7"/>
    <w:rsid w:val="27766DB7"/>
    <w:rsid w:val="27980074"/>
    <w:rsid w:val="27A06D16"/>
    <w:rsid w:val="27AD161C"/>
    <w:rsid w:val="27E95D5B"/>
    <w:rsid w:val="27F41FC6"/>
    <w:rsid w:val="28240CE2"/>
    <w:rsid w:val="2850681A"/>
    <w:rsid w:val="28534DC3"/>
    <w:rsid w:val="2870607F"/>
    <w:rsid w:val="28971553"/>
    <w:rsid w:val="28B7175B"/>
    <w:rsid w:val="28B87BE7"/>
    <w:rsid w:val="28BE2033"/>
    <w:rsid w:val="28CD7EBF"/>
    <w:rsid w:val="28F55AB7"/>
    <w:rsid w:val="29097819"/>
    <w:rsid w:val="294B45A7"/>
    <w:rsid w:val="2952569E"/>
    <w:rsid w:val="29693EA5"/>
    <w:rsid w:val="29C82CA7"/>
    <w:rsid w:val="29D4076B"/>
    <w:rsid w:val="29DE33C9"/>
    <w:rsid w:val="29E30352"/>
    <w:rsid w:val="2A385F81"/>
    <w:rsid w:val="2A4811E4"/>
    <w:rsid w:val="2A520D5B"/>
    <w:rsid w:val="2A5D6080"/>
    <w:rsid w:val="2A6D3B42"/>
    <w:rsid w:val="2A751193"/>
    <w:rsid w:val="2A797011"/>
    <w:rsid w:val="2A817277"/>
    <w:rsid w:val="2AC7132A"/>
    <w:rsid w:val="2ACC0A52"/>
    <w:rsid w:val="2ADB4C8F"/>
    <w:rsid w:val="2AE77030"/>
    <w:rsid w:val="2B03362C"/>
    <w:rsid w:val="2B09243A"/>
    <w:rsid w:val="2B267255"/>
    <w:rsid w:val="2B9F5992"/>
    <w:rsid w:val="2BA93D37"/>
    <w:rsid w:val="2BDE5B7C"/>
    <w:rsid w:val="2BEF34E2"/>
    <w:rsid w:val="2C0A0D07"/>
    <w:rsid w:val="2C1E0781"/>
    <w:rsid w:val="2C3F3241"/>
    <w:rsid w:val="2C3F76B8"/>
    <w:rsid w:val="2C561853"/>
    <w:rsid w:val="2C694706"/>
    <w:rsid w:val="2C6E6582"/>
    <w:rsid w:val="2C7C12A8"/>
    <w:rsid w:val="2C8A4AC5"/>
    <w:rsid w:val="2C8B3969"/>
    <w:rsid w:val="2C987FA1"/>
    <w:rsid w:val="2CB77438"/>
    <w:rsid w:val="2CED13AD"/>
    <w:rsid w:val="2D001C70"/>
    <w:rsid w:val="2D1F42D7"/>
    <w:rsid w:val="2D38398A"/>
    <w:rsid w:val="2D436398"/>
    <w:rsid w:val="2D462948"/>
    <w:rsid w:val="2D5155B0"/>
    <w:rsid w:val="2DD46FB2"/>
    <w:rsid w:val="2E102733"/>
    <w:rsid w:val="2E1D5228"/>
    <w:rsid w:val="2E2C251A"/>
    <w:rsid w:val="2E3A037A"/>
    <w:rsid w:val="2E4A6905"/>
    <w:rsid w:val="2E9B4A80"/>
    <w:rsid w:val="2E9C20D5"/>
    <w:rsid w:val="2EE20926"/>
    <w:rsid w:val="2EF37A5B"/>
    <w:rsid w:val="2F005662"/>
    <w:rsid w:val="2F2005D6"/>
    <w:rsid w:val="2F236312"/>
    <w:rsid w:val="2F7D2A25"/>
    <w:rsid w:val="2FBA45D0"/>
    <w:rsid w:val="300A0DAD"/>
    <w:rsid w:val="300B5D93"/>
    <w:rsid w:val="30293A50"/>
    <w:rsid w:val="30304FA4"/>
    <w:rsid w:val="303346B8"/>
    <w:rsid w:val="30586F20"/>
    <w:rsid w:val="30600482"/>
    <w:rsid w:val="30640BEB"/>
    <w:rsid w:val="30890AF5"/>
    <w:rsid w:val="30955E03"/>
    <w:rsid w:val="30B607E2"/>
    <w:rsid w:val="30CA5BB5"/>
    <w:rsid w:val="30E9667D"/>
    <w:rsid w:val="30FE1BBA"/>
    <w:rsid w:val="310E7831"/>
    <w:rsid w:val="313C1F55"/>
    <w:rsid w:val="31785E78"/>
    <w:rsid w:val="317B01F7"/>
    <w:rsid w:val="3182317D"/>
    <w:rsid w:val="31854048"/>
    <w:rsid w:val="31961FB0"/>
    <w:rsid w:val="31974805"/>
    <w:rsid w:val="31DA742C"/>
    <w:rsid w:val="31E346B6"/>
    <w:rsid w:val="32053867"/>
    <w:rsid w:val="32166AD1"/>
    <w:rsid w:val="32285A7D"/>
    <w:rsid w:val="32361A7F"/>
    <w:rsid w:val="326E435D"/>
    <w:rsid w:val="329B5FE3"/>
    <w:rsid w:val="32A86D25"/>
    <w:rsid w:val="32B53D91"/>
    <w:rsid w:val="32EF32CA"/>
    <w:rsid w:val="32F205F3"/>
    <w:rsid w:val="32FE1828"/>
    <w:rsid w:val="333A414D"/>
    <w:rsid w:val="33752C73"/>
    <w:rsid w:val="33AD0B5D"/>
    <w:rsid w:val="33BC21EA"/>
    <w:rsid w:val="33CD7BE0"/>
    <w:rsid w:val="34294023"/>
    <w:rsid w:val="34327647"/>
    <w:rsid w:val="34346240"/>
    <w:rsid w:val="349851EB"/>
    <w:rsid w:val="34A713B6"/>
    <w:rsid w:val="34BB3C38"/>
    <w:rsid w:val="34C56114"/>
    <w:rsid w:val="34C72742"/>
    <w:rsid w:val="34DA7A64"/>
    <w:rsid w:val="34E42808"/>
    <w:rsid w:val="34EA151C"/>
    <w:rsid w:val="34ED6E19"/>
    <w:rsid w:val="34FE61DD"/>
    <w:rsid w:val="350F5767"/>
    <w:rsid w:val="35172203"/>
    <w:rsid w:val="3533032A"/>
    <w:rsid w:val="353B4848"/>
    <w:rsid w:val="353C1148"/>
    <w:rsid w:val="3549269C"/>
    <w:rsid w:val="355B47F3"/>
    <w:rsid w:val="35775B09"/>
    <w:rsid w:val="357B4A0A"/>
    <w:rsid w:val="35887FE0"/>
    <w:rsid w:val="35980BB7"/>
    <w:rsid w:val="35AD3596"/>
    <w:rsid w:val="35C05DB8"/>
    <w:rsid w:val="35F674C1"/>
    <w:rsid w:val="361D3305"/>
    <w:rsid w:val="36231DFA"/>
    <w:rsid w:val="3629078D"/>
    <w:rsid w:val="36374F0F"/>
    <w:rsid w:val="365C7461"/>
    <w:rsid w:val="36720364"/>
    <w:rsid w:val="367C245D"/>
    <w:rsid w:val="368222E1"/>
    <w:rsid w:val="36C0415D"/>
    <w:rsid w:val="36D17A3C"/>
    <w:rsid w:val="36D42ED2"/>
    <w:rsid w:val="36DE26BE"/>
    <w:rsid w:val="36F314FE"/>
    <w:rsid w:val="36FD3A8C"/>
    <w:rsid w:val="371059F2"/>
    <w:rsid w:val="371201FF"/>
    <w:rsid w:val="372F512C"/>
    <w:rsid w:val="375531F2"/>
    <w:rsid w:val="375B5AC3"/>
    <w:rsid w:val="37694066"/>
    <w:rsid w:val="37895EE3"/>
    <w:rsid w:val="37A56384"/>
    <w:rsid w:val="37A91FD9"/>
    <w:rsid w:val="37CF6B73"/>
    <w:rsid w:val="37F50DB6"/>
    <w:rsid w:val="38374755"/>
    <w:rsid w:val="38392A2D"/>
    <w:rsid w:val="383F0FDD"/>
    <w:rsid w:val="388B448C"/>
    <w:rsid w:val="3897603A"/>
    <w:rsid w:val="38AA37BE"/>
    <w:rsid w:val="38BA189E"/>
    <w:rsid w:val="38EC25D2"/>
    <w:rsid w:val="38F15BFE"/>
    <w:rsid w:val="390044B2"/>
    <w:rsid w:val="390F6B3C"/>
    <w:rsid w:val="391D688C"/>
    <w:rsid w:val="392B260E"/>
    <w:rsid w:val="394F027D"/>
    <w:rsid w:val="397A0F07"/>
    <w:rsid w:val="39BE0342"/>
    <w:rsid w:val="39C55F48"/>
    <w:rsid w:val="39FE4383"/>
    <w:rsid w:val="3A3C13BA"/>
    <w:rsid w:val="3A7133E6"/>
    <w:rsid w:val="3A7740A5"/>
    <w:rsid w:val="3A7822B0"/>
    <w:rsid w:val="3A7D041C"/>
    <w:rsid w:val="3A8A6E93"/>
    <w:rsid w:val="3A8C66C3"/>
    <w:rsid w:val="3A9A3BC3"/>
    <w:rsid w:val="3A9D0CFA"/>
    <w:rsid w:val="3AC1073E"/>
    <w:rsid w:val="3AC73A09"/>
    <w:rsid w:val="3AD911EB"/>
    <w:rsid w:val="3AF96329"/>
    <w:rsid w:val="3B210D14"/>
    <w:rsid w:val="3B214F44"/>
    <w:rsid w:val="3B261694"/>
    <w:rsid w:val="3B4655A8"/>
    <w:rsid w:val="3B6A6D44"/>
    <w:rsid w:val="3BA40D3A"/>
    <w:rsid w:val="3BAF38CF"/>
    <w:rsid w:val="3BB649FC"/>
    <w:rsid w:val="3BBE7BB1"/>
    <w:rsid w:val="3BC13749"/>
    <w:rsid w:val="3BFD1DF5"/>
    <w:rsid w:val="3C234A00"/>
    <w:rsid w:val="3C3322EC"/>
    <w:rsid w:val="3C6023C7"/>
    <w:rsid w:val="3C6D0E9E"/>
    <w:rsid w:val="3C811A43"/>
    <w:rsid w:val="3C886AC6"/>
    <w:rsid w:val="3CA62A58"/>
    <w:rsid w:val="3CB24B9B"/>
    <w:rsid w:val="3CC57A22"/>
    <w:rsid w:val="3CEB5A28"/>
    <w:rsid w:val="3D723CFC"/>
    <w:rsid w:val="3D823197"/>
    <w:rsid w:val="3D8864B0"/>
    <w:rsid w:val="3D8D72A7"/>
    <w:rsid w:val="3D9E7D16"/>
    <w:rsid w:val="3D9F7FB3"/>
    <w:rsid w:val="3DB65148"/>
    <w:rsid w:val="3DCD5718"/>
    <w:rsid w:val="3DE401B6"/>
    <w:rsid w:val="3DE860E7"/>
    <w:rsid w:val="3DFA60A1"/>
    <w:rsid w:val="3DFD5D2F"/>
    <w:rsid w:val="3E012A59"/>
    <w:rsid w:val="3E092FE5"/>
    <w:rsid w:val="3E1376CF"/>
    <w:rsid w:val="3E1713B0"/>
    <w:rsid w:val="3E363ABB"/>
    <w:rsid w:val="3E3B6EE7"/>
    <w:rsid w:val="3E4B066F"/>
    <w:rsid w:val="3E63144B"/>
    <w:rsid w:val="3E861BE1"/>
    <w:rsid w:val="3E8F0585"/>
    <w:rsid w:val="3ECB70E9"/>
    <w:rsid w:val="3ED561FB"/>
    <w:rsid w:val="3EE465C2"/>
    <w:rsid w:val="3F0D3E7B"/>
    <w:rsid w:val="3F156E57"/>
    <w:rsid w:val="3F1E38A7"/>
    <w:rsid w:val="3F2C3117"/>
    <w:rsid w:val="3F2C488A"/>
    <w:rsid w:val="3F411775"/>
    <w:rsid w:val="3F521F81"/>
    <w:rsid w:val="3F65277C"/>
    <w:rsid w:val="3F812E98"/>
    <w:rsid w:val="3FB2103F"/>
    <w:rsid w:val="3FBC2607"/>
    <w:rsid w:val="3FC1187A"/>
    <w:rsid w:val="3FD008E4"/>
    <w:rsid w:val="3FFD5A59"/>
    <w:rsid w:val="40186A7B"/>
    <w:rsid w:val="402D4A03"/>
    <w:rsid w:val="40495524"/>
    <w:rsid w:val="407E493D"/>
    <w:rsid w:val="40B04CA7"/>
    <w:rsid w:val="40B5570F"/>
    <w:rsid w:val="40C0043B"/>
    <w:rsid w:val="40CA6121"/>
    <w:rsid w:val="41475ED3"/>
    <w:rsid w:val="41523293"/>
    <w:rsid w:val="415D7D2D"/>
    <w:rsid w:val="4164569E"/>
    <w:rsid w:val="417518CD"/>
    <w:rsid w:val="419939D4"/>
    <w:rsid w:val="41AE7C1F"/>
    <w:rsid w:val="41CA43C9"/>
    <w:rsid w:val="41CE0D9E"/>
    <w:rsid w:val="42111ADB"/>
    <w:rsid w:val="424C0E27"/>
    <w:rsid w:val="425C415B"/>
    <w:rsid w:val="4282001E"/>
    <w:rsid w:val="42A934E6"/>
    <w:rsid w:val="42AA37BF"/>
    <w:rsid w:val="42BA0F04"/>
    <w:rsid w:val="42CE3736"/>
    <w:rsid w:val="42D13960"/>
    <w:rsid w:val="42D37485"/>
    <w:rsid w:val="42E8451F"/>
    <w:rsid w:val="430D59F3"/>
    <w:rsid w:val="43156CE3"/>
    <w:rsid w:val="434F0718"/>
    <w:rsid w:val="438B785E"/>
    <w:rsid w:val="43970033"/>
    <w:rsid w:val="43C4013D"/>
    <w:rsid w:val="43EE2D9E"/>
    <w:rsid w:val="43F20E3A"/>
    <w:rsid w:val="443D3DC1"/>
    <w:rsid w:val="446926FD"/>
    <w:rsid w:val="44B0178A"/>
    <w:rsid w:val="44EA2713"/>
    <w:rsid w:val="44FE529E"/>
    <w:rsid w:val="450163B3"/>
    <w:rsid w:val="4540119A"/>
    <w:rsid w:val="45523711"/>
    <w:rsid w:val="4561275C"/>
    <w:rsid w:val="45655144"/>
    <w:rsid w:val="457B1E6C"/>
    <w:rsid w:val="45AB25AB"/>
    <w:rsid w:val="45AB7BC8"/>
    <w:rsid w:val="45CA18C9"/>
    <w:rsid w:val="45D91681"/>
    <w:rsid w:val="45DD656B"/>
    <w:rsid w:val="45E40799"/>
    <w:rsid w:val="45FE17C3"/>
    <w:rsid w:val="46044E6C"/>
    <w:rsid w:val="46050CF2"/>
    <w:rsid w:val="463E7881"/>
    <w:rsid w:val="46416798"/>
    <w:rsid w:val="464B5FA7"/>
    <w:rsid w:val="466B2D47"/>
    <w:rsid w:val="46A72AA0"/>
    <w:rsid w:val="46CB39D4"/>
    <w:rsid w:val="46D3038B"/>
    <w:rsid w:val="46E93141"/>
    <w:rsid w:val="46F803B8"/>
    <w:rsid w:val="4731120F"/>
    <w:rsid w:val="47416953"/>
    <w:rsid w:val="476C293E"/>
    <w:rsid w:val="47811EC7"/>
    <w:rsid w:val="47D96EC5"/>
    <w:rsid w:val="47E95D00"/>
    <w:rsid w:val="47ED2693"/>
    <w:rsid w:val="47F358E0"/>
    <w:rsid w:val="48121D24"/>
    <w:rsid w:val="48314DAB"/>
    <w:rsid w:val="48355721"/>
    <w:rsid w:val="483C1AD4"/>
    <w:rsid w:val="48606B3F"/>
    <w:rsid w:val="486D58E1"/>
    <w:rsid w:val="48AF4D66"/>
    <w:rsid w:val="48B2047C"/>
    <w:rsid w:val="48B20751"/>
    <w:rsid w:val="49045175"/>
    <w:rsid w:val="49104D24"/>
    <w:rsid w:val="49146B66"/>
    <w:rsid w:val="492C6073"/>
    <w:rsid w:val="492E5EA1"/>
    <w:rsid w:val="494E687A"/>
    <w:rsid w:val="49843B86"/>
    <w:rsid w:val="498C4B52"/>
    <w:rsid w:val="499C4506"/>
    <w:rsid w:val="49AE5903"/>
    <w:rsid w:val="49C669C5"/>
    <w:rsid w:val="49EC490A"/>
    <w:rsid w:val="49FA3553"/>
    <w:rsid w:val="49FC2DEC"/>
    <w:rsid w:val="4A070E3C"/>
    <w:rsid w:val="4A5D2FD2"/>
    <w:rsid w:val="4AAF762D"/>
    <w:rsid w:val="4ABD4306"/>
    <w:rsid w:val="4ACC4A26"/>
    <w:rsid w:val="4AEF2251"/>
    <w:rsid w:val="4B0A3AF4"/>
    <w:rsid w:val="4B2B3C4E"/>
    <w:rsid w:val="4B2F5453"/>
    <w:rsid w:val="4B7915DC"/>
    <w:rsid w:val="4B951EAB"/>
    <w:rsid w:val="4B9B17C3"/>
    <w:rsid w:val="4BAE2EE0"/>
    <w:rsid w:val="4BB048B3"/>
    <w:rsid w:val="4BCE5FE1"/>
    <w:rsid w:val="4BE21234"/>
    <w:rsid w:val="4BF323F0"/>
    <w:rsid w:val="4BF6694A"/>
    <w:rsid w:val="4BF82992"/>
    <w:rsid w:val="4C365752"/>
    <w:rsid w:val="4C496FDF"/>
    <w:rsid w:val="4C644D03"/>
    <w:rsid w:val="4C9259F8"/>
    <w:rsid w:val="4D0915F6"/>
    <w:rsid w:val="4D1E0CA2"/>
    <w:rsid w:val="4D243B58"/>
    <w:rsid w:val="4D2775A9"/>
    <w:rsid w:val="4D356271"/>
    <w:rsid w:val="4D3E7851"/>
    <w:rsid w:val="4D6D6516"/>
    <w:rsid w:val="4DA94CA4"/>
    <w:rsid w:val="4DAE46C0"/>
    <w:rsid w:val="4DD8070D"/>
    <w:rsid w:val="4DDF1E6B"/>
    <w:rsid w:val="4DE45029"/>
    <w:rsid w:val="4DFE3AD0"/>
    <w:rsid w:val="4E0B10BC"/>
    <w:rsid w:val="4E17070E"/>
    <w:rsid w:val="4E2023DE"/>
    <w:rsid w:val="4E951B25"/>
    <w:rsid w:val="4E99772F"/>
    <w:rsid w:val="4E9A7EF0"/>
    <w:rsid w:val="4E9E410E"/>
    <w:rsid w:val="4EB86410"/>
    <w:rsid w:val="4EBD62AD"/>
    <w:rsid w:val="4ED83851"/>
    <w:rsid w:val="4F0B61CC"/>
    <w:rsid w:val="4F1D340E"/>
    <w:rsid w:val="4F1E6692"/>
    <w:rsid w:val="4F2B4FB7"/>
    <w:rsid w:val="4F3B4631"/>
    <w:rsid w:val="4F3D3224"/>
    <w:rsid w:val="4F5A416D"/>
    <w:rsid w:val="4F8F7BAC"/>
    <w:rsid w:val="4FC20BCB"/>
    <w:rsid w:val="4FCE7A78"/>
    <w:rsid w:val="4FCF44FB"/>
    <w:rsid w:val="4FD447BA"/>
    <w:rsid w:val="500210D5"/>
    <w:rsid w:val="50075394"/>
    <w:rsid w:val="502865A1"/>
    <w:rsid w:val="50315C7D"/>
    <w:rsid w:val="503C6CC7"/>
    <w:rsid w:val="50954982"/>
    <w:rsid w:val="50AD16CE"/>
    <w:rsid w:val="50BD32D4"/>
    <w:rsid w:val="50C00B33"/>
    <w:rsid w:val="50CA726D"/>
    <w:rsid w:val="50E808FB"/>
    <w:rsid w:val="50F90374"/>
    <w:rsid w:val="510B3995"/>
    <w:rsid w:val="511A7602"/>
    <w:rsid w:val="511B1212"/>
    <w:rsid w:val="51205AED"/>
    <w:rsid w:val="512C311E"/>
    <w:rsid w:val="512E77DF"/>
    <w:rsid w:val="513639B9"/>
    <w:rsid w:val="515456AA"/>
    <w:rsid w:val="5170559A"/>
    <w:rsid w:val="51B265E6"/>
    <w:rsid w:val="51D9344D"/>
    <w:rsid w:val="51DA0185"/>
    <w:rsid w:val="51F62FE7"/>
    <w:rsid w:val="52076BDB"/>
    <w:rsid w:val="521D634F"/>
    <w:rsid w:val="52333A80"/>
    <w:rsid w:val="523D3E1D"/>
    <w:rsid w:val="52513D50"/>
    <w:rsid w:val="52926BB5"/>
    <w:rsid w:val="52B416A0"/>
    <w:rsid w:val="52BA05FF"/>
    <w:rsid w:val="52BF0F8F"/>
    <w:rsid w:val="52CD247B"/>
    <w:rsid w:val="52D07DFC"/>
    <w:rsid w:val="52D85B22"/>
    <w:rsid w:val="52E270D2"/>
    <w:rsid w:val="530E7A3E"/>
    <w:rsid w:val="531D6915"/>
    <w:rsid w:val="53371294"/>
    <w:rsid w:val="535756F3"/>
    <w:rsid w:val="536D40AB"/>
    <w:rsid w:val="53C67E78"/>
    <w:rsid w:val="53CB383A"/>
    <w:rsid w:val="53D90105"/>
    <w:rsid w:val="53EA33B2"/>
    <w:rsid w:val="53F0314C"/>
    <w:rsid w:val="53F61000"/>
    <w:rsid w:val="54034952"/>
    <w:rsid w:val="5407700C"/>
    <w:rsid w:val="542C2A9B"/>
    <w:rsid w:val="544F4B33"/>
    <w:rsid w:val="5453351E"/>
    <w:rsid w:val="54702DDF"/>
    <w:rsid w:val="547847A2"/>
    <w:rsid w:val="548A2B1D"/>
    <w:rsid w:val="548A7834"/>
    <w:rsid w:val="54B16088"/>
    <w:rsid w:val="550676D0"/>
    <w:rsid w:val="551057A5"/>
    <w:rsid w:val="5512091C"/>
    <w:rsid w:val="55360192"/>
    <w:rsid w:val="55503878"/>
    <w:rsid w:val="55813678"/>
    <w:rsid w:val="558D3393"/>
    <w:rsid w:val="55A6131C"/>
    <w:rsid w:val="55CC04A8"/>
    <w:rsid w:val="561D5127"/>
    <w:rsid w:val="562E3377"/>
    <w:rsid w:val="5636220D"/>
    <w:rsid w:val="564134F8"/>
    <w:rsid w:val="566E1956"/>
    <w:rsid w:val="567B12AC"/>
    <w:rsid w:val="568433D5"/>
    <w:rsid w:val="56A312F0"/>
    <w:rsid w:val="56C117ED"/>
    <w:rsid w:val="56F1744F"/>
    <w:rsid w:val="56F53E91"/>
    <w:rsid w:val="570850F1"/>
    <w:rsid w:val="57382EA4"/>
    <w:rsid w:val="573909D9"/>
    <w:rsid w:val="573F1FF6"/>
    <w:rsid w:val="57615F47"/>
    <w:rsid w:val="578E2A0F"/>
    <w:rsid w:val="579E213B"/>
    <w:rsid w:val="57C26216"/>
    <w:rsid w:val="57E70C76"/>
    <w:rsid w:val="57ED203B"/>
    <w:rsid w:val="58362770"/>
    <w:rsid w:val="583A26AF"/>
    <w:rsid w:val="586178AE"/>
    <w:rsid w:val="58682D3A"/>
    <w:rsid w:val="586C504F"/>
    <w:rsid w:val="5873338A"/>
    <w:rsid w:val="587D311C"/>
    <w:rsid w:val="58E14320"/>
    <w:rsid w:val="59111E04"/>
    <w:rsid w:val="59300EB6"/>
    <w:rsid w:val="59324D26"/>
    <w:rsid w:val="593F60BF"/>
    <w:rsid w:val="596A5151"/>
    <w:rsid w:val="596C7CE5"/>
    <w:rsid w:val="59700941"/>
    <w:rsid w:val="59756E33"/>
    <w:rsid w:val="59774990"/>
    <w:rsid w:val="59BA0B4F"/>
    <w:rsid w:val="59BA6E46"/>
    <w:rsid w:val="59E91AD3"/>
    <w:rsid w:val="59FA6A50"/>
    <w:rsid w:val="5A265152"/>
    <w:rsid w:val="5A360767"/>
    <w:rsid w:val="5A6B66C3"/>
    <w:rsid w:val="5A744789"/>
    <w:rsid w:val="5A783EF0"/>
    <w:rsid w:val="5A9460B2"/>
    <w:rsid w:val="5A9B7FE6"/>
    <w:rsid w:val="5AAF54B0"/>
    <w:rsid w:val="5ABE0364"/>
    <w:rsid w:val="5ADF6C99"/>
    <w:rsid w:val="5AE06140"/>
    <w:rsid w:val="5AFC0B15"/>
    <w:rsid w:val="5B180743"/>
    <w:rsid w:val="5B3F6C27"/>
    <w:rsid w:val="5B4013D0"/>
    <w:rsid w:val="5B976F44"/>
    <w:rsid w:val="5BC7001D"/>
    <w:rsid w:val="5BCE0EE6"/>
    <w:rsid w:val="5BE02ADC"/>
    <w:rsid w:val="5BF0643A"/>
    <w:rsid w:val="5BF2155F"/>
    <w:rsid w:val="5BFC0C7E"/>
    <w:rsid w:val="5C036FBF"/>
    <w:rsid w:val="5C0E2BEF"/>
    <w:rsid w:val="5C1D6295"/>
    <w:rsid w:val="5C286899"/>
    <w:rsid w:val="5C327F02"/>
    <w:rsid w:val="5C4A2EDB"/>
    <w:rsid w:val="5C505796"/>
    <w:rsid w:val="5C7F5FB9"/>
    <w:rsid w:val="5C85540B"/>
    <w:rsid w:val="5C87360F"/>
    <w:rsid w:val="5CCC2735"/>
    <w:rsid w:val="5CD608BB"/>
    <w:rsid w:val="5CE628AB"/>
    <w:rsid w:val="5CFF1E76"/>
    <w:rsid w:val="5D0001D2"/>
    <w:rsid w:val="5D075B01"/>
    <w:rsid w:val="5D537B4B"/>
    <w:rsid w:val="5D6214C9"/>
    <w:rsid w:val="5D6D2F67"/>
    <w:rsid w:val="5D735BA4"/>
    <w:rsid w:val="5D9F47C6"/>
    <w:rsid w:val="5DA03770"/>
    <w:rsid w:val="5DC072B6"/>
    <w:rsid w:val="5DF11E1E"/>
    <w:rsid w:val="5E0A226A"/>
    <w:rsid w:val="5E317FF7"/>
    <w:rsid w:val="5E5B7109"/>
    <w:rsid w:val="5ED072A1"/>
    <w:rsid w:val="5EEC278E"/>
    <w:rsid w:val="5F40470D"/>
    <w:rsid w:val="5F4B784B"/>
    <w:rsid w:val="5F695DC8"/>
    <w:rsid w:val="5F6B1C23"/>
    <w:rsid w:val="5F7635F0"/>
    <w:rsid w:val="5F7C1317"/>
    <w:rsid w:val="5F7F03D1"/>
    <w:rsid w:val="5FA5335B"/>
    <w:rsid w:val="5FB330C2"/>
    <w:rsid w:val="5FD61297"/>
    <w:rsid w:val="5FE450E9"/>
    <w:rsid w:val="5FFA4EF1"/>
    <w:rsid w:val="600E6F75"/>
    <w:rsid w:val="604114AB"/>
    <w:rsid w:val="606C2935"/>
    <w:rsid w:val="60B5701E"/>
    <w:rsid w:val="60BF2255"/>
    <w:rsid w:val="60D31125"/>
    <w:rsid w:val="60E1238C"/>
    <w:rsid w:val="611F6B32"/>
    <w:rsid w:val="61417C0F"/>
    <w:rsid w:val="614465BE"/>
    <w:rsid w:val="6152474B"/>
    <w:rsid w:val="616332E6"/>
    <w:rsid w:val="617579AF"/>
    <w:rsid w:val="61950D92"/>
    <w:rsid w:val="619575E8"/>
    <w:rsid w:val="61A867C7"/>
    <w:rsid w:val="61AE217F"/>
    <w:rsid w:val="61CC2371"/>
    <w:rsid w:val="61FC45F4"/>
    <w:rsid w:val="6246661A"/>
    <w:rsid w:val="62643944"/>
    <w:rsid w:val="626C39D9"/>
    <w:rsid w:val="627611A2"/>
    <w:rsid w:val="62B831F1"/>
    <w:rsid w:val="62C95D47"/>
    <w:rsid w:val="62D74969"/>
    <w:rsid w:val="62DD3FF0"/>
    <w:rsid w:val="62DF70EA"/>
    <w:rsid w:val="62F56D69"/>
    <w:rsid w:val="63000476"/>
    <w:rsid w:val="63595307"/>
    <w:rsid w:val="636129E7"/>
    <w:rsid w:val="638A74E4"/>
    <w:rsid w:val="638D685B"/>
    <w:rsid w:val="63945DDE"/>
    <w:rsid w:val="63D426C4"/>
    <w:rsid w:val="63D66AA7"/>
    <w:rsid w:val="64050660"/>
    <w:rsid w:val="6436457C"/>
    <w:rsid w:val="64687B4C"/>
    <w:rsid w:val="646B6CDF"/>
    <w:rsid w:val="64981B3E"/>
    <w:rsid w:val="649B34B2"/>
    <w:rsid w:val="64CA53DD"/>
    <w:rsid w:val="64DE27D0"/>
    <w:rsid w:val="65147E1F"/>
    <w:rsid w:val="65261ABD"/>
    <w:rsid w:val="6549400F"/>
    <w:rsid w:val="655A4E3B"/>
    <w:rsid w:val="655E39C9"/>
    <w:rsid w:val="65956118"/>
    <w:rsid w:val="65A72621"/>
    <w:rsid w:val="65DE1FD4"/>
    <w:rsid w:val="65ED7273"/>
    <w:rsid w:val="65F82882"/>
    <w:rsid w:val="6618078D"/>
    <w:rsid w:val="661D6F2F"/>
    <w:rsid w:val="664148F8"/>
    <w:rsid w:val="667230E8"/>
    <w:rsid w:val="668C4087"/>
    <w:rsid w:val="66922317"/>
    <w:rsid w:val="66B70B86"/>
    <w:rsid w:val="66BB4458"/>
    <w:rsid w:val="66C530CE"/>
    <w:rsid w:val="66EB3CFE"/>
    <w:rsid w:val="67001538"/>
    <w:rsid w:val="6711272D"/>
    <w:rsid w:val="67154A9E"/>
    <w:rsid w:val="6725393C"/>
    <w:rsid w:val="673A0683"/>
    <w:rsid w:val="673B4C86"/>
    <w:rsid w:val="67843A0A"/>
    <w:rsid w:val="678A1D40"/>
    <w:rsid w:val="67A151DE"/>
    <w:rsid w:val="67A33B87"/>
    <w:rsid w:val="67B104BF"/>
    <w:rsid w:val="67C25572"/>
    <w:rsid w:val="67D322A6"/>
    <w:rsid w:val="67D916D7"/>
    <w:rsid w:val="67E53E97"/>
    <w:rsid w:val="67EF23A5"/>
    <w:rsid w:val="67F012BB"/>
    <w:rsid w:val="67FB0180"/>
    <w:rsid w:val="682A1DC3"/>
    <w:rsid w:val="68331986"/>
    <w:rsid w:val="684764D0"/>
    <w:rsid w:val="68551633"/>
    <w:rsid w:val="685C2539"/>
    <w:rsid w:val="68822279"/>
    <w:rsid w:val="689D28D2"/>
    <w:rsid w:val="68A62C18"/>
    <w:rsid w:val="68AA4457"/>
    <w:rsid w:val="68E47344"/>
    <w:rsid w:val="68FD6439"/>
    <w:rsid w:val="69086E9D"/>
    <w:rsid w:val="694010E2"/>
    <w:rsid w:val="6944194F"/>
    <w:rsid w:val="69754EA1"/>
    <w:rsid w:val="69844B8D"/>
    <w:rsid w:val="6995721A"/>
    <w:rsid w:val="69A17437"/>
    <w:rsid w:val="69B113B4"/>
    <w:rsid w:val="69B76B44"/>
    <w:rsid w:val="69CB3F26"/>
    <w:rsid w:val="6A0F3074"/>
    <w:rsid w:val="6A207DEF"/>
    <w:rsid w:val="6A3642BA"/>
    <w:rsid w:val="6A593A10"/>
    <w:rsid w:val="6A795C8D"/>
    <w:rsid w:val="6A874E47"/>
    <w:rsid w:val="6A914D7F"/>
    <w:rsid w:val="6AA60A5F"/>
    <w:rsid w:val="6AAB4F3B"/>
    <w:rsid w:val="6AB05E52"/>
    <w:rsid w:val="6ABF3899"/>
    <w:rsid w:val="6ACB5CE2"/>
    <w:rsid w:val="6AD73C2D"/>
    <w:rsid w:val="6AFD6011"/>
    <w:rsid w:val="6B014F59"/>
    <w:rsid w:val="6B045967"/>
    <w:rsid w:val="6B07246E"/>
    <w:rsid w:val="6B151EDA"/>
    <w:rsid w:val="6B190F72"/>
    <w:rsid w:val="6B272C52"/>
    <w:rsid w:val="6B3026C7"/>
    <w:rsid w:val="6B3231A8"/>
    <w:rsid w:val="6B3E6131"/>
    <w:rsid w:val="6B9554E8"/>
    <w:rsid w:val="6BBE5043"/>
    <w:rsid w:val="6BBF0C6B"/>
    <w:rsid w:val="6BD64AAC"/>
    <w:rsid w:val="6BE84B6F"/>
    <w:rsid w:val="6BF03863"/>
    <w:rsid w:val="6BF23B28"/>
    <w:rsid w:val="6C1A6EC9"/>
    <w:rsid w:val="6C1A733D"/>
    <w:rsid w:val="6C4327F6"/>
    <w:rsid w:val="6C7644EB"/>
    <w:rsid w:val="6C9A56F3"/>
    <w:rsid w:val="6CA15547"/>
    <w:rsid w:val="6CA63BC7"/>
    <w:rsid w:val="6CB1250A"/>
    <w:rsid w:val="6CB965A9"/>
    <w:rsid w:val="6CBE2B7B"/>
    <w:rsid w:val="6CC51EDF"/>
    <w:rsid w:val="6CCE3222"/>
    <w:rsid w:val="6CD23F2B"/>
    <w:rsid w:val="6CF94D43"/>
    <w:rsid w:val="6D0C18E0"/>
    <w:rsid w:val="6D3D31C1"/>
    <w:rsid w:val="6D406CDD"/>
    <w:rsid w:val="6D524C53"/>
    <w:rsid w:val="6D6C0D35"/>
    <w:rsid w:val="6D8148DD"/>
    <w:rsid w:val="6D9D0F1D"/>
    <w:rsid w:val="6DA6574B"/>
    <w:rsid w:val="6DDB2CEB"/>
    <w:rsid w:val="6DF51BC8"/>
    <w:rsid w:val="6E2839CF"/>
    <w:rsid w:val="6E3B69DA"/>
    <w:rsid w:val="6E435DC3"/>
    <w:rsid w:val="6E5E145B"/>
    <w:rsid w:val="6E716C0E"/>
    <w:rsid w:val="6E994FAC"/>
    <w:rsid w:val="6ED55E76"/>
    <w:rsid w:val="6F0B4008"/>
    <w:rsid w:val="6F2B6BEB"/>
    <w:rsid w:val="6F65337D"/>
    <w:rsid w:val="6F971E7D"/>
    <w:rsid w:val="6FE345C9"/>
    <w:rsid w:val="703647D1"/>
    <w:rsid w:val="70403186"/>
    <w:rsid w:val="70545C90"/>
    <w:rsid w:val="706053CF"/>
    <w:rsid w:val="706E6981"/>
    <w:rsid w:val="708D6428"/>
    <w:rsid w:val="709E40DA"/>
    <w:rsid w:val="70ED7AAC"/>
    <w:rsid w:val="70F905EB"/>
    <w:rsid w:val="71181574"/>
    <w:rsid w:val="71334339"/>
    <w:rsid w:val="71974485"/>
    <w:rsid w:val="719F09D8"/>
    <w:rsid w:val="71A65BF0"/>
    <w:rsid w:val="71B606E2"/>
    <w:rsid w:val="71C43ECE"/>
    <w:rsid w:val="71C7692D"/>
    <w:rsid w:val="71DD3B8D"/>
    <w:rsid w:val="71E94685"/>
    <w:rsid w:val="72050CE7"/>
    <w:rsid w:val="72064735"/>
    <w:rsid w:val="721640A6"/>
    <w:rsid w:val="721909B0"/>
    <w:rsid w:val="722C74F5"/>
    <w:rsid w:val="726A1D8E"/>
    <w:rsid w:val="72842EFC"/>
    <w:rsid w:val="72843B42"/>
    <w:rsid w:val="729A6FC0"/>
    <w:rsid w:val="72A10F88"/>
    <w:rsid w:val="72A20D24"/>
    <w:rsid w:val="72BA6EC0"/>
    <w:rsid w:val="72BE6F17"/>
    <w:rsid w:val="72DC5C88"/>
    <w:rsid w:val="72F47020"/>
    <w:rsid w:val="730E4FDA"/>
    <w:rsid w:val="73550D6E"/>
    <w:rsid w:val="736A5BE0"/>
    <w:rsid w:val="737F60C7"/>
    <w:rsid w:val="73A953A6"/>
    <w:rsid w:val="73D11C4C"/>
    <w:rsid w:val="73D73DA5"/>
    <w:rsid w:val="74062EB8"/>
    <w:rsid w:val="740B6866"/>
    <w:rsid w:val="7424408F"/>
    <w:rsid w:val="743F5CD7"/>
    <w:rsid w:val="74901B47"/>
    <w:rsid w:val="74972925"/>
    <w:rsid w:val="74EA44CD"/>
    <w:rsid w:val="74F35274"/>
    <w:rsid w:val="75141D39"/>
    <w:rsid w:val="75177BC3"/>
    <w:rsid w:val="753F540F"/>
    <w:rsid w:val="75427920"/>
    <w:rsid w:val="755551E5"/>
    <w:rsid w:val="75565006"/>
    <w:rsid w:val="758260A7"/>
    <w:rsid w:val="75857EC7"/>
    <w:rsid w:val="75A070A6"/>
    <w:rsid w:val="75E70856"/>
    <w:rsid w:val="761F738A"/>
    <w:rsid w:val="762A25B6"/>
    <w:rsid w:val="76392BC8"/>
    <w:rsid w:val="76510E15"/>
    <w:rsid w:val="766E548D"/>
    <w:rsid w:val="76794693"/>
    <w:rsid w:val="769C1A32"/>
    <w:rsid w:val="76CA2947"/>
    <w:rsid w:val="77157748"/>
    <w:rsid w:val="773170C5"/>
    <w:rsid w:val="77333E7E"/>
    <w:rsid w:val="77353FD8"/>
    <w:rsid w:val="77737448"/>
    <w:rsid w:val="777C5F64"/>
    <w:rsid w:val="77A7081B"/>
    <w:rsid w:val="77A806AA"/>
    <w:rsid w:val="77B16396"/>
    <w:rsid w:val="77D14A0F"/>
    <w:rsid w:val="7826690D"/>
    <w:rsid w:val="783F3D8A"/>
    <w:rsid w:val="784720D1"/>
    <w:rsid w:val="784D56D3"/>
    <w:rsid w:val="78556100"/>
    <w:rsid w:val="786E25CC"/>
    <w:rsid w:val="7883323D"/>
    <w:rsid w:val="78A07664"/>
    <w:rsid w:val="78A572A2"/>
    <w:rsid w:val="78A9143C"/>
    <w:rsid w:val="78B14189"/>
    <w:rsid w:val="78FA5F4B"/>
    <w:rsid w:val="793F5976"/>
    <w:rsid w:val="79415BEF"/>
    <w:rsid w:val="796709A8"/>
    <w:rsid w:val="796921A1"/>
    <w:rsid w:val="798D3FBE"/>
    <w:rsid w:val="79F72C26"/>
    <w:rsid w:val="7A056107"/>
    <w:rsid w:val="7A066173"/>
    <w:rsid w:val="7A077DA7"/>
    <w:rsid w:val="7A166E1F"/>
    <w:rsid w:val="7A36479D"/>
    <w:rsid w:val="7A636660"/>
    <w:rsid w:val="7A6C408D"/>
    <w:rsid w:val="7A7F00DF"/>
    <w:rsid w:val="7A9623DE"/>
    <w:rsid w:val="7AC11560"/>
    <w:rsid w:val="7AC377E8"/>
    <w:rsid w:val="7ADD113B"/>
    <w:rsid w:val="7B2C5FEC"/>
    <w:rsid w:val="7B2E0E92"/>
    <w:rsid w:val="7B365745"/>
    <w:rsid w:val="7B6074AA"/>
    <w:rsid w:val="7B6E4ECE"/>
    <w:rsid w:val="7B711701"/>
    <w:rsid w:val="7B7D3FBA"/>
    <w:rsid w:val="7B843B27"/>
    <w:rsid w:val="7B89769A"/>
    <w:rsid w:val="7B9277F2"/>
    <w:rsid w:val="7B947330"/>
    <w:rsid w:val="7BB869C4"/>
    <w:rsid w:val="7BCD06DD"/>
    <w:rsid w:val="7BDF65FD"/>
    <w:rsid w:val="7BE33F87"/>
    <w:rsid w:val="7C006FC3"/>
    <w:rsid w:val="7C101822"/>
    <w:rsid w:val="7C102586"/>
    <w:rsid w:val="7C1A404C"/>
    <w:rsid w:val="7C481495"/>
    <w:rsid w:val="7C586BDB"/>
    <w:rsid w:val="7C8A731D"/>
    <w:rsid w:val="7CA161EB"/>
    <w:rsid w:val="7CB743F1"/>
    <w:rsid w:val="7CC07FD9"/>
    <w:rsid w:val="7CE14210"/>
    <w:rsid w:val="7D0728B3"/>
    <w:rsid w:val="7D15004B"/>
    <w:rsid w:val="7D6019C7"/>
    <w:rsid w:val="7D6775E1"/>
    <w:rsid w:val="7D6E00FF"/>
    <w:rsid w:val="7D8728F5"/>
    <w:rsid w:val="7D8F1A50"/>
    <w:rsid w:val="7D902C95"/>
    <w:rsid w:val="7D947527"/>
    <w:rsid w:val="7D9A71D8"/>
    <w:rsid w:val="7DA30E82"/>
    <w:rsid w:val="7DCD55C2"/>
    <w:rsid w:val="7DD657B1"/>
    <w:rsid w:val="7DE678AA"/>
    <w:rsid w:val="7DF92D52"/>
    <w:rsid w:val="7E091411"/>
    <w:rsid w:val="7E4B7727"/>
    <w:rsid w:val="7EA87F87"/>
    <w:rsid w:val="7EA96857"/>
    <w:rsid w:val="7EB561AE"/>
    <w:rsid w:val="7ECF647F"/>
    <w:rsid w:val="7EE320C3"/>
    <w:rsid w:val="7EF6688F"/>
    <w:rsid w:val="7EF94698"/>
    <w:rsid w:val="7F0B0214"/>
    <w:rsid w:val="7F1B0D3C"/>
    <w:rsid w:val="7F1F24B2"/>
    <w:rsid w:val="7F320283"/>
    <w:rsid w:val="7F457A43"/>
    <w:rsid w:val="7F553D6B"/>
    <w:rsid w:val="7F87618E"/>
    <w:rsid w:val="7F9C26B0"/>
    <w:rsid w:val="7F9E4977"/>
    <w:rsid w:val="7FC36351"/>
    <w:rsid w:val="7FC753DA"/>
    <w:rsid w:val="7FCD2CCB"/>
    <w:rsid w:val="7FF42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eastAsia="黑体"/>
      <w:b/>
      <w:bCs/>
      <w:kern w:val="44"/>
      <w:sz w:val="32"/>
      <w:szCs w:val="44"/>
    </w:rPr>
  </w:style>
  <w:style w:type="paragraph" w:styleId="4">
    <w:name w:val="heading 2"/>
    <w:basedOn w:val="1"/>
    <w:next w:val="1"/>
    <w:unhideWhenUsed/>
    <w:qFormat/>
    <w:uiPriority w:val="9"/>
    <w:pPr>
      <w:keepNext/>
      <w:keepLines/>
      <w:spacing w:before="260" w:after="260" w:line="416" w:lineRule="auto"/>
      <w:ind w:left="210" w:leftChars="100" w:right="210" w:rightChars="100"/>
      <w:outlineLvl w:val="1"/>
    </w:pPr>
    <w:rPr>
      <w:rFonts w:ascii="仿宋_GB2312" w:eastAsia="楷体_GB2312" w:hAnsiTheme="majorHAnsi" w:cstheme="majorBidi"/>
      <w:b/>
      <w:bCs/>
      <w:sz w:val="30"/>
      <w:szCs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rPr>
      <w:rFonts w:ascii="Calibri" w:hAnsi="Calibri"/>
    </w:rPr>
  </w:style>
  <w:style w:type="paragraph" w:styleId="6">
    <w:name w:val="Normal Indent"/>
    <w:basedOn w:val="1"/>
    <w:qFormat/>
    <w:uiPriority w:val="0"/>
    <w:pPr>
      <w:ind w:firstLine="420"/>
    </w:pPr>
    <w:rPr>
      <w:rFonts w:ascii="Calibri" w:hAnsi="Calibri"/>
    </w:rPr>
  </w:style>
  <w:style w:type="paragraph" w:styleId="7">
    <w:name w:val="caption"/>
    <w:basedOn w:val="1"/>
    <w:next w:val="1"/>
    <w:semiHidden/>
    <w:unhideWhenUsed/>
    <w:qFormat/>
    <w:uiPriority w:val="0"/>
    <w:rPr>
      <w:rFonts w:ascii="Arial" w:hAnsi="Arial" w:eastAsia="黑体"/>
      <w:sz w:val="20"/>
    </w:rPr>
  </w:style>
  <w:style w:type="paragraph" w:styleId="8">
    <w:name w:val="toa heading"/>
    <w:basedOn w:val="1"/>
    <w:next w:val="1"/>
    <w:qFormat/>
    <w:uiPriority w:val="99"/>
    <w:pPr>
      <w:spacing w:before="120"/>
    </w:pPr>
    <w:rPr>
      <w:rFonts w:ascii="Arial" w:hAnsi="Arial" w:cs="Arial"/>
      <w:sz w:val="24"/>
    </w:rPr>
  </w:style>
  <w:style w:type="paragraph" w:styleId="9">
    <w:name w:val="annotation text"/>
    <w:basedOn w:val="1"/>
    <w:link w:val="64"/>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qFormat/>
    <w:uiPriority w:val="0"/>
    <w:pPr>
      <w:spacing w:after="120"/>
      <w:ind w:left="420" w:leftChars="200"/>
    </w:pPr>
  </w:style>
  <w:style w:type="paragraph" w:styleId="12">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3">
    <w:name w:val="Plain Text"/>
    <w:basedOn w:val="1"/>
    <w:qFormat/>
    <w:uiPriority w:val="0"/>
    <w:rPr>
      <w:rFonts w:hint="eastAsia" w:hAnsi="Courier New"/>
    </w:rPr>
  </w:style>
  <w:style w:type="paragraph" w:styleId="14">
    <w:name w:val="Body Text Indent 2"/>
    <w:basedOn w:val="1"/>
    <w:next w:val="15"/>
    <w:qFormat/>
    <w:uiPriority w:val="0"/>
    <w:pPr>
      <w:spacing w:line="480" w:lineRule="auto"/>
      <w:ind w:left="420" w:leftChars="200"/>
    </w:pPr>
  </w:style>
  <w:style w:type="paragraph" w:customStyle="1" w:styleId="15">
    <w:name w:val="reader-word-layer reader-word-s46-2"/>
    <w:basedOn w:val="1"/>
    <w:next w:val="16"/>
    <w:qFormat/>
    <w:uiPriority w:val="0"/>
    <w:pPr>
      <w:widowControl/>
      <w:spacing w:before="280" w:after="280"/>
    </w:pPr>
    <w:rPr>
      <w:rFonts w:ascii="宋体"/>
      <w:sz w:val="24"/>
    </w:rPr>
  </w:style>
  <w:style w:type="paragraph" w:customStyle="1" w:styleId="16">
    <w:name w:val="xl35"/>
    <w:basedOn w:val="1"/>
    <w:next w:val="1"/>
    <w:qFormat/>
    <w:uiPriority w:val="0"/>
    <w:pPr>
      <w:widowControl/>
      <w:shd w:val="clear" w:color="FFFFFF" w:fill="FFFFFF"/>
      <w:spacing w:before="280" w:after="280"/>
    </w:pPr>
    <w:rPr>
      <w:rFonts w:ascii="Arial Unicode MS" w:eastAsia="Arial Unicode MS"/>
      <w:sz w:val="24"/>
    </w:rPr>
  </w:style>
  <w:style w:type="paragraph" w:styleId="17">
    <w:name w:val="Balloon Text"/>
    <w:basedOn w:val="1"/>
    <w:link w:val="58"/>
    <w:qFormat/>
    <w:uiPriority w:val="0"/>
    <w:rPr>
      <w:sz w:val="18"/>
      <w:szCs w:val="18"/>
    </w:rPr>
  </w:style>
  <w:style w:type="paragraph" w:styleId="18">
    <w:name w:val="footer"/>
    <w:basedOn w:val="1"/>
    <w:link w:val="63"/>
    <w:qFormat/>
    <w:uiPriority w:val="99"/>
    <w:pPr>
      <w:tabs>
        <w:tab w:val="center" w:pos="4153"/>
        <w:tab w:val="right" w:pos="8306"/>
      </w:tabs>
      <w:snapToGrid w:val="0"/>
      <w:jc w:val="left"/>
    </w:pPr>
    <w:rPr>
      <w:sz w:val="18"/>
    </w:rPr>
  </w:style>
  <w:style w:type="paragraph" w:styleId="19">
    <w:name w:val="header"/>
    <w:basedOn w:val="1"/>
    <w:link w:val="6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unhideWhenUsed/>
    <w:qFormat/>
    <w:uiPriority w:val="39"/>
    <w:pPr>
      <w:tabs>
        <w:tab w:val="right" w:leader="dot" w:pos="8296"/>
      </w:tabs>
    </w:pPr>
    <w:rPr>
      <w:rFonts w:ascii="黑体" w:hAnsi="黑体" w:eastAsia="黑体"/>
      <w:sz w:val="30"/>
      <w:szCs w:val="30"/>
    </w:rPr>
  </w:style>
  <w:style w:type="paragraph" w:styleId="21">
    <w:name w:val="toc 2"/>
    <w:basedOn w:val="1"/>
    <w:next w:val="1"/>
    <w:unhideWhenUsed/>
    <w:qFormat/>
    <w:uiPriority w:val="39"/>
    <w:pPr>
      <w:tabs>
        <w:tab w:val="right" w:leader="dot" w:pos="8296"/>
      </w:tabs>
      <w:ind w:left="420" w:leftChars="200"/>
    </w:pPr>
    <w:rPr>
      <w:rFonts w:ascii="楷体_GB2312" w:hAnsi="楷体" w:eastAsia="楷体_GB2312"/>
      <w:sz w:val="30"/>
      <w:szCs w:val="30"/>
    </w:rPr>
  </w:style>
  <w:style w:type="paragraph" w:styleId="22">
    <w:name w:val="Normal (Web)"/>
    <w:basedOn w:val="1"/>
    <w:qFormat/>
    <w:uiPriority w:val="0"/>
    <w:pPr>
      <w:jc w:val="left"/>
    </w:pPr>
    <w:rPr>
      <w:kern w:val="0"/>
      <w:sz w:val="24"/>
    </w:rPr>
  </w:style>
  <w:style w:type="paragraph" w:styleId="23">
    <w:name w:val="annotation subject"/>
    <w:basedOn w:val="9"/>
    <w:next w:val="9"/>
    <w:link w:val="65"/>
    <w:qFormat/>
    <w:uiPriority w:val="0"/>
    <w:rPr>
      <w:b/>
      <w:bCs/>
    </w:rPr>
  </w:style>
  <w:style w:type="paragraph" w:styleId="24">
    <w:name w:val="Body Text First Indent"/>
    <w:basedOn w:val="10"/>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FollowedHyperlink"/>
    <w:basedOn w:val="27"/>
    <w:qFormat/>
    <w:uiPriority w:val="0"/>
    <w:rPr>
      <w:color w:val="535353"/>
      <w:u w:val="none"/>
    </w:rPr>
  </w:style>
  <w:style w:type="character" w:styleId="30">
    <w:name w:val="Emphasis"/>
    <w:basedOn w:val="27"/>
    <w:qFormat/>
    <w:uiPriority w:val="0"/>
  </w:style>
  <w:style w:type="character" w:styleId="31">
    <w:name w:val="HTML Definition"/>
    <w:basedOn w:val="27"/>
    <w:qFormat/>
    <w:uiPriority w:val="0"/>
  </w:style>
  <w:style w:type="character" w:styleId="32">
    <w:name w:val="HTML Acronym"/>
    <w:basedOn w:val="27"/>
    <w:qFormat/>
    <w:uiPriority w:val="0"/>
  </w:style>
  <w:style w:type="character" w:styleId="33">
    <w:name w:val="HTML Variable"/>
    <w:basedOn w:val="27"/>
    <w:qFormat/>
    <w:uiPriority w:val="0"/>
    <w:rPr>
      <w:shd w:val="clear" w:color="auto" w:fill="D2D2D2"/>
    </w:rPr>
  </w:style>
  <w:style w:type="character" w:styleId="34">
    <w:name w:val="Hyperlink"/>
    <w:basedOn w:val="27"/>
    <w:unhideWhenUsed/>
    <w:qFormat/>
    <w:uiPriority w:val="99"/>
    <w:rPr>
      <w:color w:val="0563C1" w:themeColor="hyperlink"/>
      <w:u w:val="single"/>
      <w14:textFill>
        <w14:solidFill>
          <w14:schemeClr w14:val="hlink"/>
        </w14:solidFill>
      </w14:textFill>
    </w:rPr>
  </w:style>
  <w:style w:type="character" w:styleId="35">
    <w:name w:val="HTML Code"/>
    <w:basedOn w:val="27"/>
    <w:qFormat/>
    <w:uiPriority w:val="0"/>
    <w:rPr>
      <w:rFonts w:ascii="Courier New" w:hAnsi="Courier New"/>
      <w:sz w:val="20"/>
      <w:u w:val="none"/>
    </w:rPr>
  </w:style>
  <w:style w:type="character" w:styleId="36">
    <w:name w:val="annotation reference"/>
    <w:basedOn w:val="27"/>
    <w:qFormat/>
    <w:uiPriority w:val="0"/>
    <w:rPr>
      <w:sz w:val="21"/>
      <w:szCs w:val="21"/>
    </w:rPr>
  </w:style>
  <w:style w:type="character" w:styleId="37">
    <w:name w:val="HTML Cite"/>
    <w:basedOn w:val="27"/>
    <w:qFormat/>
    <w:uiPriority w:val="0"/>
  </w:style>
  <w:style w:type="paragraph" w:customStyle="1" w:styleId="3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3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0">
    <w:name w:val="font31"/>
    <w:basedOn w:val="27"/>
    <w:qFormat/>
    <w:uiPriority w:val="0"/>
    <w:rPr>
      <w:rFonts w:hint="eastAsia" w:ascii="宋体" w:hAnsi="宋体" w:eastAsia="宋体" w:cs="宋体"/>
      <w:color w:val="000000"/>
      <w:sz w:val="24"/>
      <w:szCs w:val="24"/>
    </w:rPr>
  </w:style>
  <w:style w:type="paragraph" w:customStyle="1" w:styleId="41">
    <w:name w:val="样式 标题 2 + 楷体_GB2312 段前: 0 磅 段后: 0 磅 行距: 固定值 29 磅"/>
    <w:basedOn w:val="4"/>
    <w:qFormat/>
    <w:uiPriority w:val="0"/>
    <w:pPr>
      <w:spacing w:before="0" w:after="0" w:line="580" w:lineRule="exact"/>
      <w:ind w:firstLine="630" w:firstLineChars="196"/>
    </w:pPr>
    <w:rPr>
      <w:rFonts w:ascii="楷体_GB2312" w:hAnsi="楷体_GB2312" w:cs="宋体"/>
      <w:szCs w:val="20"/>
    </w:rPr>
  </w:style>
  <w:style w:type="paragraph" w:customStyle="1" w:styleId="42">
    <w:name w:val="阳江 正文"/>
    <w:basedOn w:val="1"/>
    <w:qFormat/>
    <w:uiPriority w:val="0"/>
    <w:pPr>
      <w:spacing w:afterLines="50" w:line="336" w:lineRule="auto"/>
      <w:ind w:firstLine="420"/>
    </w:pPr>
    <w:rPr>
      <w:sz w:val="24"/>
    </w:rPr>
  </w:style>
  <w:style w:type="paragraph" w:customStyle="1" w:styleId="43">
    <w:name w:val="3级"/>
    <w:basedOn w:val="1"/>
    <w:qFormat/>
    <w:uiPriority w:val="0"/>
    <w:pPr>
      <w:spacing w:line="480" w:lineRule="auto"/>
      <w:ind w:firstLine="600" w:firstLineChars="200"/>
      <w:outlineLvl w:val="2"/>
    </w:pPr>
    <w:rPr>
      <w:rFonts w:ascii="楷体" w:hAnsi="楷体" w:eastAsia="楷体" w:cs="楷体"/>
      <w:sz w:val="30"/>
      <w:szCs w:val="30"/>
    </w:rPr>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7">
    <w:name w:val="列表段落1"/>
    <w:basedOn w:val="1"/>
    <w:qFormat/>
    <w:uiPriority w:val="0"/>
    <w:pPr>
      <w:ind w:firstLine="420" w:firstLineChars="200"/>
    </w:pPr>
    <w:rPr>
      <w:rFonts w:ascii="Calibri" w:hAnsi="Calibri" w:cs="宋体"/>
    </w:rPr>
  </w:style>
  <w:style w:type="paragraph" w:customStyle="1" w:styleId="48">
    <w:name w:val="正"/>
    <w:basedOn w:val="1"/>
    <w:qFormat/>
    <w:uiPriority w:val="0"/>
    <w:pPr>
      <w:spacing w:line="360" w:lineRule="auto"/>
      <w:ind w:firstLine="200" w:firstLineChars="200"/>
    </w:pPr>
    <w:rPr>
      <w:rFonts w:eastAsia="仿宋_GB2312"/>
      <w:kern w:val="0"/>
      <w:sz w:val="32"/>
      <w:szCs w:val="20"/>
      <w:lang w:val="zh-CN"/>
    </w:rPr>
  </w:style>
  <w:style w:type="paragraph" w:customStyle="1" w:styleId="49">
    <w:name w:val="第三级标题"/>
    <w:basedOn w:val="1"/>
    <w:next w:val="48"/>
    <w:qFormat/>
    <w:uiPriority w:val="99"/>
    <w:pPr>
      <w:spacing w:before="100" w:beforeAutospacing="1" w:after="100" w:afterAutospacing="1"/>
      <w:ind w:firstLine="200" w:firstLineChars="200"/>
      <w:outlineLvl w:val="2"/>
    </w:pPr>
    <w:rPr>
      <w:rFonts w:eastAsia="楷体"/>
      <w:b/>
      <w:kern w:val="0"/>
      <w:sz w:val="32"/>
      <w:szCs w:val="32"/>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
    <w:name w:val="阳东正文"/>
    <w:basedOn w:val="1"/>
    <w:qFormat/>
    <w:uiPriority w:val="0"/>
    <w:pPr>
      <w:adjustRightInd w:val="0"/>
      <w:snapToGrid w:val="0"/>
      <w:spacing w:line="600" w:lineRule="exact"/>
      <w:ind w:firstLine="200" w:firstLineChars="200"/>
    </w:pPr>
    <w:rPr>
      <w:rFonts w:ascii="仿宋_GB2312" w:eastAsia="仿宋_GB2312"/>
      <w:sz w:val="30"/>
      <w:szCs w:val="30"/>
    </w:rPr>
  </w:style>
  <w:style w:type="paragraph" w:styleId="52">
    <w:name w:val="List Paragraph"/>
    <w:basedOn w:val="1"/>
    <w:qFormat/>
    <w:uiPriority w:val="99"/>
    <w:pPr>
      <w:ind w:firstLine="420" w:firstLineChars="200"/>
    </w:pPr>
  </w:style>
  <w:style w:type="paragraph" w:customStyle="1" w:styleId="53">
    <w:name w:val="正文1"/>
    <w:qFormat/>
    <w:uiPriority w:val="0"/>
    <w:pPr>
      <w:jc w:val="both"/>
    </w:pPr>
    <w:rPr>
      <w:rFonts w:ascii="Calibri" w:hAnsi="Calibri" w:eastAsia="宋体" w:cs="Calibri"/>
      <w:kern w:val="2"/>
      <w:sz w:val="21"/>
      <w:szCs w:val="21"/>
      <w:lang w:val="en-US" w:eastAsia="zh-CN" w:bidi="ar-SA"/>
    </w:rPr>
  </w:style>
  <w:style w:type="table" w:customStyle="1" w:styleId="54">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6">
    <w:name w:val="curre"/>
    <w:basedOn w:val="27"/>
    <w:qFormat/>
    <w:uiPriority w:val="0"/>
    <w:rPr>
      <w:color w:val="FFFFFF"/>
      <w:shd w:val="clear" w:color="auto" w:fill="2F6EA2"/>
    </w:rPr>
  </w:style>
  <w:style w:type="character" w:customStyle="1" w:styleId="57">
    <w:name w:val="NormalCharacter"/>
    <w:qFormat/>
    <w:uiPriority w:val="0"/>
    <w:rPr>
      <w:kern w:val="2"/>
      <w:sz w:val="21"/>
      <w:szCs w:val="24"/>
      <w:lang w:val="en-US" w:eastAsia="zh-CN" w:bidi="ar-SA"/>
    </w:rPr>
  </w:style>
  <w:style w:type="character" w:customStyle="1" w:styleId="58">
    <w:name w:val="批注框文本 字符"/>
    <w:basedOn w:val="27"/>
    <w:link w:val="17"/>
    <w:qFormat/>
    <w:uiPriority w:val="0"/>
    <w:rPr>
      <w:kern w:val="2"/>
      <w:sz w:val="18"/>
      <w:szCs w:val="18"/>
    </w:rPr>
  </w:style>
  <w:style w:type="paragraph" w:customStyle="1" w:styleId="59">
    <w:name w:val="样式1"/>
    <w:qFormat/>
    <w:uiPriority w:val="0"/>
    <w:pPr>
      <w:widowControl w:val="0"/>
      <w:ind w:firstLine="708" w:firstLineChars="236"/>
      <w:jc w:val="both"/>
    </w:pPr>
    <w:rPr>
      <w:rFonts w:ascii="Times New Roman" w:hAnsi="Times New Roman" w:eastAsia="宋体" w:cs="宋体"/>
      <w:kern w:val="2"/>
      <w:sz w:val="30"/>
      <w:szCs w:val="30"/>
      <w:lang w:val="en-US" w:eastAsia="zh-CN" w:bidi="ar-SA"/>
    </w:rPr>
  </w:style>
  <w:style w:type="paragraph" w:customStyle="1" w:styleId="60">
    <w:name w:val="TOC2"/>
    <w:next w:val="1"/>
    <w:qFormat/>
    <w:uiPriority w:val="99"/>
    <w:pPr>
      <w:widowControl w:val="0"/>
      <w:ind w:left="420" w:leftChars="200"/>
      <w:jc w:val="both"/>
    </w:pPr>
    <w:rPr>
      <w:rFonts w:ascii="Times New Roman" w:hAnsi="Times New Roman" w:eastAsia="宋体" w:cs="Times New Roman"/>
      <w:kern w:val="2"/>
      <w:sz w:val="21"/>
      <w:szCs w:val="21"/>
      <w:lang w:val="en-US" w:eastAsia="zh-CN" w:bidi="ar-SA"/>
    </w:rPr>
  </w:style>
  <w:style w:type="paragraph" w:customStyle="1" w:styleId="61">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62">
    <w:name w:val="页眉 字符"/>
    <w:basedOn w:val="27"/>
    <w:link w:val="19"/>
    <w:qFormat/>
    <w:uiPriority w:val="99"/>
    <w:rPr>
      <w:kern w:val="2"/>
      <w:sz w:val="18"/>
      <w:szCs w:val="24"/>
    </w:rPr>
  </w:style>
  <w:style w:type="character" w:customStyle="1" w:styleId="63">
    <w:name w:val="页脚 字符"/>
    <w:basedOn w:val="27"/>
    <w:link w:val="18"/>
    <w:qFormat/>
    <w:uiPriority w:val="99"/>
    <w:rPr>
      <w:kern w:val="2"/>
      <w:sz w:val="18"/>
      <w:szCs w:val="24"/>
    </w:rPr>
  </w:style>
  <w:style w:type="character" w:customStyle="1" w:styleId="64">
    <w:name w:val="批注文字 字符"/>
    <w:basedOn w:val="27"/>
    <w:link w:val="9"/>
    <w:qFormat/>
    <w:uiPriority w:val="0"/>
    <w:rPr>
      <w:kern w:val="2"/>
      <w:sz w:val="21"/>
      <w:szCs w:val="24"/>
    </w:rPr>
  </w:style>
  <w:style w:type="character" w:customStyle="1" w:styleId="65">
    <w:name w:val="批注主题 字符"/>
    <w:basedOn w:val="64"/>
    <w:link w:val="23"/>
    <w:qFormat/>
    <w:uiPriority w:val="0"/>
    <w:rPr>
      <w:b/>
      <w:bCs/>
      <w:kern w:val="2"/>
      <w:sz w:val="21"/>
      <w:szCs w:val="24"/>
    </w:rPr>
  </w:style>
  <w:style w:type="character" w:customStyle="1" w:styleId="66">
    <w:name w:val="font11"/>
    <w:basedOn w:val="27"/>
    <w:qFormat/>
    <w:uiPriority w:val="0"/>
    <w:rPr>
      <w:rFonts w:hint="eastAsia" w:ascii="宋体" w:hAnsi="宋体" w:eastAsia="宋体" w:cs="宋体"/>
      <w:color w:val="000000"/>
      <w:sz w:val="22"/>
      <w:szCs w:val="22"/>
      <w:u w:val="none"/>
    </w:rPr>
  </w:style>
  <w:style w:type="character" w:customStyle="1" w:styleId="67">
    <w:name w:val="font21"/>
    <w:basedOn w:val="27"/>
    <w:qFormat/>
    <w:uiPriority w:val="0"/>
    <w:rPr>
      <w:rFonts w:hint="eastAsia" w:ascii="仿宋" w:hAnsi="仿宋" w:eastAsia="仿宋" w:cs="仿宋"/>
      <w:color w:val="000000"/>
      <w:sz w:val="22"/>
      <w:szCs w:val="22"/>
      <w:u w:val="none"/>
    </w:rPr>
  </w:style>
  <w:style w:type="character" w:customStyle="1" w:styleId="68">
    <w:name w:val="font01"/>
    <w:basedOn w:val="27"/>
    <w:qFormat/>
    <w:uiPriority w:val="0"/>
    <w:rPr>
      <w:rFonts w:hint="eastAsia" w:ascii="宋体" w:hAnsi="宋体" w:eastAsia="宋体" w:cs="宋体"/>
      <w:color w:val="000000"/>
      <w:sz w:val="22"/>
      <w:szCs w:val="22"/>
      <w:u w:val="none"/>
    </w:rPr>
  </w:style>
  <w:style w:type="character" w:customStyle="1" w:styleId="69">
    <w:name w:val="font41"/>
    <w:basedOn w:val="27"/>
    <w:qFormat/>
    <w:uiPriority w:val="0"/>
    <w:rPr>
      <w:rFonts w:hint="default" w:ascii="Times New Roman" w:hAnsi="Times New Roman" w:cs="Times New Roman"/>
      <w:color w:val="000000"/>
      <w:sz w:val="22"/>
      <w:szCs w:val="22"/>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1.png"/><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SD\Desktop\&#25968;&#25454;&#36879;&#35270;&#34920;&#21450;excel&#20989;&#25968;&#27979;&#3579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制图!$A$3</c:f>
              <c:strCache>
                <c:ptCount val="1"/>
                <c:pt idx="0">
                  <c:v>GDP（万元）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制图!$B$2:$G$2</c:f>
              <c:strCache>
                <c:ptCount val="6"/>
                <c:pt idx="0">
                  <c:v>2015年</c:v>
                </c:pt>
                <c:pt idx="1">
                  <c:v>2016年</c:v>
                </c:pt>
                <c:pt idx="2">
                  <c:v>2017年</c:v>
                </c:pt>
                <c:pt idx="3">
                  <c:v>2018年</c:v>
                </c:pt>
                <c:pt idx="4">
                  <c:v>2019年</c:v>
                </c:pt>
                <c:pt idx="5">
                  <c:v>2020年</c:v>
                </c:pt>
              </c:strCache>
            </c:strRef>
          </c:cat>
          <c:val>
            <c:numRef>
              <c:f>制图!$B$3:$G$3</c:f>
              <c:numCache>
                <c:formatCode>General</c:formatCode>
                <c:ptCount val="6"/>
                <c:pt idx="0">
                  <c:v>2189872</c:v>
                </c:pt>
                <c:pt idx="1">
                  <c:v>2424588</c:v>
                </c:pt>
                <c:pt idx="2">
                  <c:v>2716685</c:v>
                </c:pt>
                <c:pt idx="3">
                  <c:v>2970345</c:v>
                </c:pt>
                <c:pt idx="4">
                  <c:v>3429374</c:v>
                </c:pt>
                <c:pt idx="5">
                  <c:v>3601000</c:v>
                </c:pt>
              </c:numCache>
            </c:numRef>
          </c:val>
        </c:ser>
        <c:dLbls>
          <c:showLegendKey val="0"/>
          <c:showVal val="0"/>
          <c:showCatName val="0"/>
          <c:showSerName val="0"/>
          <c:showPercent val="0"/>
          <c:showBubbleSize val="0"/>
        </c:dLbls>
        <c:gapWidth val="100"/>
        <c:overlap val="-24"/>
        <c:axId val="524574403"/>
        <c:axId val="966560020"/>
      </c:barChart>
      <c:catAx>
        <c:axId val="524574403"/>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966560020"/>
        <c:crosses val="autoZero"/>
        <c:auto val="1"/>
        <c:lblAlgn val="ctr"/>
        <c:lblOffset val="100"/>
        <c:noMultiLvlLbl val="0"/>
      </c:catAx>
      <c:valAx>
        <c:axId val="9665600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5245744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24c9d05-5027-4334-8a14-63157cfefc5d}"/>
      </c:ext>
    </c:extLst>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工作表465539!$A$2</c:f>
              <c:strCache>
                <c:ptCount val="1"/>
                <c:pt idx="0">
                  <c:v>第一产业</c:v>
                </c:pt>
              </c:strCache>
            </c:strRef>
          </c:tx>
          <c:spPr>
            <a:solidFill>
              <a:srgbClr val="5B9BD5"/>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工作表465539!$B$2:$G$2</c:f>
              <c:numCache>
                <c:formatCode>General</c:formatCode>
                <c:ptCount val="6"/>
                <c:pt idx="0">
                  <c:v>21.1</c:v>
                </c:pt>
                <c:pt idx="1">
                  <c:v>22.21</c:v>
                </c:pt>
                <c:pt idx="2">
                  <c:v>21.2</c:v>
                </c:pt>
                <c:pt idx="3" c:formatCode="0.0_ ">
                  <c:v>20.1</c:v>
                </c:pt>
                <c:pt idx="4">
                  <c:v>20.1</c:v>
                </c:pt>
                <c:pt idx="5">
                  <c:v>19.7</c:v>
                </c:pt>
              </c:numCache>
            </c:numRef>
          </c:val>
        </c:ser>
        <c:ser>
          <c:idx val="1"/>
          <c:order val="1"/>
          <c:tx>
            <c:strRef>
              <c:f>工作表465539!$A$3</c:f>
              <c:strCache>
                <c:ptCount val="1"/>
                <c:pt idx="0">
                  <c:v>第二产业</c:v>
                </c:pt>
              </c:strCache>
            </c:strRef>
          </c:tx>
          <c:spPr>
            <a:solidFill>
              <a:srgbClr val="ED7D31"/>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工作表465539!$B$3:$G$3</c:f>
              <c:numCache>
                <c:formatCode>General</c:formatCode>
                <c:ptCount val="6"/>
                <c:pt idx="0">
                  <c:v>36</c:v>
                </c:pt>
                <c:pt idx="1">
                  <c:v>42.36</c:v>
                </c:pt>
                <c:pt idx="2">
                  <c:v>43.5</c:v>
                </c:pt>
                <c:pt idx="3" c:formatCode="0.0_ ">
                  <c:v>42.9</c:v>
                </c:pt>
                <c:pt idx="4">
                  <c:v>34.3</c:v>
                </c:pt>
                <c:pt idx="5">
                  <c:v>32.1</c:v>
                </c:pt>
              </c:numCache>
            </c:numRef>
          </c:val>
        </c:ser>
        <c:ser>
          <c:idx val="3"/>
          <c:order val="2"/>
          <c:tx>
            <c:strRef>
              <c:f>工作表465539!$A$4</c:f>
              <c:strCache>
                <c:ptCount val="1"/>
                <c:pt idx="0">
                  <c:v>第三产业</c:v>
                </c:pt>
              </c:strCache>
            </c:strRef>
          </c:tx>
          <c:spPr>
            <a:solidFill>
              <a:srgbClr val="FFC000"/>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工作表465539!$B$4:$G$4</c:f>
              <c:numCache>
                <c:formatCode>General</c:formatCode>
                <c:ptCount val="6"/>
                <c:pt idx="0">
                  <c:v>42.9</c:v>
                </c:pt>
                <c:pt idx="1">
                  <c:v>35.43</c:v>
                </c:pt>
                <c:pt idx="2">
                  <c:v>35.3</c:v>
                </c:pt>
                <c:pt idx="3" c:formatCode="0.0_ ">
                  <c:v>37</c:v>
                </c:pt>
                <c:pt idx="4">
                  <c:v>45.6</c:v>
                </c:pt>
                <c:pt idx="5">
                  <c:v>48.2</c:v>
                </c:pt>
              </c:numCache>
            </c:numRef>
          </c:val>
        </c:ser>
        <c:dLbls>
          <c:showLegendKey val="0"/>
          <c:showVal val="0"/>
          <c:showCatName val="0"/>
          <c:showSerName val="0"/>
          <c:showPercent val="0"/>
          <c:showBubbleSize val="0"/>
        </c:dLbls>
        <c:gapWidth val="150"/>
        <c:overlap val="100"/>
        <c:axId val="661663432"/>
        <c:axId val="1"/>
      </c:barChart>
      <c:catAx>
        <c:axId val="661663432"/>
        <c:scaling>
          <c:orientation val="minMax"/>
        </c:scaling>
        <c:delete val="0"/>
        <c:axPos val="b"/>
        <c:numFmt formatCode="General" sourceLinked="0"/>
        <c:majorTickMark val="none"/>
        <c:minorTickMark val="none"/>
        <c:tickLblPos val="nextTo"/>
        <c:spPr>
          <a:ln w="12700" cap="flat" cmpd="sng" algn="ctr">
            <a:solidFill>
              <a:srgbClr val="D9D9D9"/>
            </a:solidFill>
            <a:prstDash val="solid"/>
            <a:round/>
          </a:ln>
        </c:spPr>
        <c:txPr>
          <a:bodyPr rot="0" spcFirstLastPara="0" vertOverflow="ellipsis" vert="horz" wrap="square" anchor="t" anchorCtr="0"/>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crossAx val="1"/>
        <c:crosses val="autoZero"/>
        <c:auto val="1"/>
        <c:lblAlgn val="ctr"/>
        <c:lblOffset val="100"/>
        <c:noMultiLvlLbl val="0"/>
      </c:catAx>
      <c:valAx>
        <c:axId val="1"/>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9525" cap="flat" cmpd="sng" algn="ctr">
            <a:noFill/>
            <a:prstDash val="solid"/>
            <a:round/>
          </a:ln>
        </c:spPr>
        <c:txPr>
          <a:bodyPr rot="0" spcFirstLastPara="0" vertOverflow="ellipsis" vert="horz" wrap="square" anchor="t" anchorCtr="0"/>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crossAx val="661663432"/>
        <c:crosses val="autoZero"/>
        <c:crossBetween val="between"/>
      </c:valAx>
      <c:spPr>
        <a:noFill/>
        <a:ln>
          <a:noFill/>
        </a:ln>
      </c:spPr>
    </c:plotArea>
    <c:legend>
      <c:legendPos val="b"/>
      <c:legendEntry>
        <c:idx val="0"/>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egendEntry>
        <c:idx val="1"/>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egendEntry>
        <c:idx val="2"/>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
    <c:plotVisOnly val="1"/>
    <c:dispBlanksAs val="gap"/>
    <c:showDLblsOverMax val="0"/>
    <c:extLst>
      <c:ext uri="{0b15fc19-7d7d-44ad-8c2d-2c3a37ce22c3}">
        <chartProps xmlns="https://web.wps.cn/et/2018/main" chartId="{5531a492-9720-459b-80d2-11e7d17330b9}"/>
      </c:ext>
    </c:extLst>
  </c:chart>
  <c:spPr>
    <a:solidFill>
      <a:srgbClr val="FFFFFF"/>
    </a:solidFill>
    <a:ln w="9525" cap="flat" cmpd="sng" algn="ctr">
      <a:noFill/>
      <a:prstDash val="solid"/>
      <a:round/>
    </a:ln>
  </c:spPr>
  <c:txPr>
    <a:bodyPr/>
    <a:lstStyle/>
    <a:p>
      <a:pPr>
        <a:defRPr lang="zh-CN" sz="1000" b="0" i="0" u="none" strike="noStrike" baseline="0">
          <a:solidFill>
            <a:srgbClr val="000000"/>
          </a:solidFill>
          <a:latin typeface="华文细黑" panose="02010600040101010101" charset="-122"/>
          <a:ea typeface="华文细黑" panose="02010600040101010101" charset="-122"/>
          <a:cs typeface="Lucida Sans" panose="020B0602030504020204"/>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FAE03-56EF-4993-9712-072364E75EBF}">
  <ds:schemaRefs/>
</ds:datastoreItem>
</file>

<file path=docProps/app.xml><?xml version="1.0" encoding="utf-8"?>
<Properties xmlns="http://schemas.openxmlformats.org/officeDocument/2006/extended-properties" xmlns:vt="http://schemas.openxmlformats.org/officeDocument/2006/docPropsVTypes">
  <Template>Normal.dotm</Template>
  <Pages>137</Pages>
  <Words>6087</Words>
  <Characters>6752</Characters>
  <Lines>671</Lines>
  <Paragraphs>188</Paragraphs>
  <TotalTime>13</TotalTime>
  <ScaleCrop>false</ScaleCrop>
  <LinksUpToDate>false</LinksUpToDate>
  <CharactersWithSpaces>7227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2021-01-08T02:15:00Z</dcterms:created>
  <dc:creator>Administrator</dc:creator>
  <cp:lastModifiedBy>打工不易唉声叹气</cp:lastModifiedBy>
  <cp:lastPrinted>2021-02-01T14:21:00Z</cp:lastPrinted>
  <dcterms:modified xsi:type="dcterms:W3CDTF">2026-02-02T03:18:04Z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33206ABC03084A66BAC2E83844219424_13</vt:lpwstr>
  </property>
  <property fmtid="{D5CDD505-2E9C-101B-9397-08002B2CF9AE}" pid="4" name="KSOTemplateDocerSaveRecord">
    <vt:lpwstr>eyJoZGlkIjoiNGZjODI0NDJhMmY3ODJkMDU3MjZmMGFlNTJjOGViMGIiLCJ1c2VySWQiOiIxNTU4NjA2MTM3In0=</vt:lpwstr>
  </property>
</Properties>
</file>