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F8606">
      <w:pPr>
        <w:pStyle w:val="5"/>
        <w:bidi w:val="0"/>
        <w:rPr>
          <w:rFonts w:hint="eastAsia" w:cs="Times New Roman"/>
        </w:rPr>
      </w:pPr>
      <w:r>
        <w:rPr>
          <w:rFonts w:hint="eastAsia" w:cs="Times New Roman"/>
          <w:lang w:eastAsia="zh-CN"/>
        </w:rPr>
        <w:t>陆丰市</w:t>
      </w:r>
      <w:bookmarkStart w:id="0" w:name="_GoBack"/>
      <w:r>
        <w:rPr>
          <w:rFonts w:hint="eastAsia" w:cs="Times New Roman"/>
        </w:rPr>
        <w:t>校服产品质量监督抽查实施细则</w:t>
      </w:r>
      <w:bookmarkEnd w:id="0"/>
    </w:p>
    <w:p w14:paraId="3CE4C329">
      <w:pPr>
        <w:bidi w:val="0"/>
        <w:adjustRightInd/>
        <w:snapToGrid/>
        <w:spacing w:line="560" w:lineRule="exact"/>
        <w:rPr>
          <w:rFonts w:hint="default" w:ascii="Times New Roman" w:hAnsi="Times New Roman" w:eastAsia="仿宋_GB2312" w:cs="Times New Roman"/>
          <w:sz w:val="32"/>
          <w:szCs w:val="32"/>
        </w:rPr>
      </w:pPr>
    </w:p>
    <w:p w14:paraId="360CDDD5">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14:paraId="7029CD6A">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以随机抽样的方式在被抽样生产者、销售者的待销产品中抽取。</w:t>
      </w:r>
    </w:p>
    <w:p w14:paraId="203FD50F">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14:paraId="1BE4062F">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每批次抽样数量2件/套/条，其中1件/套/条作为检验样品，1件/套/条作为备用样品。</w:t>
      </w:r>
    </w:p>
    <w:p w14:paraId="7CB8430C">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3350"/>
        <w:gridCol w:w="4218"/>
      </w:tblGrid>
      <w:tr w14:paraId="7D925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977" w:type="dxa"/>
            <w:vAlign w:val="top"/>
          </w:tcPr>
          <w:p w14:paraId="2A53BA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350" w:type="dxa"/>
            <w:vAlign w:val="top"/>
          </w:tcPr>
          <w:p w14:paraId="70E77D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218" w:type="dxa"/>
            <w:vAlign w:val="top"/>
          </w:tcPr>
          <w:p w14:paraId="46F97E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14:paraId="17023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02A776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350" w:type="dxa"/>
            <w:vAlign w:val="center"/>
          </w:tcPr>
          <w:p w14:paraId="44C091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甲醛含量</w:t>
            </w:r>
          </w:p>
        </w:tc>
        <w:tc>
          <w:tcPr>
            <w:tcW w:w="4218" w:type="dxa"/>
            <w:vAlign w:val="center"/>
          </w:tcPr>
          <w:p w14:paraId="7365ED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tc>
      </w:tr>
      <w:tr w14:paraId="48599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60215F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350" w:type="dxa"/>
            <w:vAlign w:val="center"/>
          </w:tcPr>
          <w:p w14:paraId="1DDDCB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pH值</w:t>
            </w:r>
          </w:p>
        </w:tc>
        <w:tc>
          <w:tcPr>
            <w:tcW w:w="4218" w:type="dxa"/>
            <w:vAlign w:val="center"/>
          </w:tcPr>
          <w:p w14:paraId="75260F5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7573-2009</w:t>
            </w:r>
          </w:p>
        </w:tc>
      </w:tr>
      <w:tr w14:paraId="7BD88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50BD5F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350" w:type="dxa"/>
            <w:vAlign w:val="center"/>
          </w:tcPr>
          <w:p w14:paraId="12127D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218" w:type="dxa"/>
            <w:vAlign w:val="center"/>
          </w:tcPr>
          <w:p w14:paraId="483CD4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14:paraId="1828A70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23344-2009</w:t>
            </w:r>
          </w:p>
        </w:tc>
      </w:tr>
      <w:tr w14:paraId="378F1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730AB2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350" w:type="dxa"/>
            <w:vAlign w:val="center"/>
          </w:tcPr>
          <w:p w14:paraId="7735A9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耐水色牢度</w:t>
            </w:r>
          </w:p>
        </w:tc>
        <w:tc>
          <w:tcPr>
            <w:tcW w:w="4218" w:type="dxa"/>
            <w:vAlign w:val="center"/>
          </w:tcPr>
          <w:p w14:paraId="14B1E9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5713-2013</w:t>
            </w:r>
          </w:p>
        </w:tc>
      </w:tr>
      <w:tr w14:paraId="37F6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6F38B59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350" w:type="dxa"/>
            <w:vAlign w:val="center"/>
          </w:tcPr>
          <w:p w14:paraId="68FF8E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耐酸汗渍色牢度</w:t>
            </w:r>
          </w:p>
        </w:tc>
        <w:tc>
          <w:tcPr>
            <w:tcW w:w="4218" w:type="dxa"/>
            <w:vAlign w:val="center"/>
          </w:tcPr>
          <w:p w14:paraId="6CBD75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14:paraId="5DD6F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211CC36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350" w:type="dxa"/>
            <w:vAlign w:val="center"/>
          </w:tcPr>
          <w:p w14:paraId="737170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耐碱汗渍色牢度</w:t>
            </w:r>
          </w:p>
        </w:tc>
        <w:tc>
          <w:tcPr>
            <w:tcW w:w="4218" w:type="dxa"/>
            <w:vAlign w:val="center"/>
          </w:tcPr>
          <w:p w14:paraId="43906A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14:paraId="538D0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7F4925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350" w:type="dxa"/>
            <w:vAlign w:val="center"/>
          </w:tcPr>
          <w:p w14:paraId="37EBD55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耐干摩擦色牢度</w:t>
            </w:r>
          </w:p>
        </w:tc>
        <w:tc>
          <w:tcPr>
            <w:tcW w:w="4218" w:type="dxa"/>
            <w:vAlign w:val="center"/>
          </w:tcPr>
          <w:p w14:paraId="332A88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14:paraId="38EAB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78D4B4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350" w:type="dxa"/>
            <w:vAlign w:val="center"/>
          </w:tcPr>
          <w:p w14:paraId="6B592EF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耐湿摩擦色牢度</w:t>
            </w:r>
          </w:p>
        </w:tc>
        <w:tc>
          <w:tcPr>
            <w:tcW w:w="4218" w:type="dxa"/>
            <w:vAlign w:val="center"/>
          </w:tcPr>
          <w:p w14:paraId="020EFE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14:paraId="3D1DF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3A92B0A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350" w:type="dxa"/>
            <w:vAlign w:val="center"/>
          </w:tcPr>
          <w:p w14:paraId="03CE1A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耐（皂）洗色牢度</w:t>
            </w:r>
          </w:p>
        </w:tc>
        <w:tc>
          <w:tcPr>
            <w:tcW w:w="4218" w:type="dxa"/>
            <w:vAlign w:val="center"/>
          </w:tcPr>
          <w:p w14:paraId="0618FEE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3921-2008</w:t>
            </w:r>
          </w:p>
          <w:p w14:paraId="18B7EA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12490-2014</w:t>
            </w:r>
          </w:p>
        </w:tc>
      </w:tr>
      <w:tr w14:paraId="762AA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545532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350" w:type="dxa"/>
            <w:vAlign w:val="center"/>
          </w:tcPr>
          <w:p w14:paraId="56AEA91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耐光色牢度</w:t>
            </w:r>
          </w:p>
        </w:tc>
        <w:tc>
          <w:tcPr>
            <w:tcW w:w="4218" w:type="dxa"/>
            <w:vAlign w:val="center"/>
          </w:tcPr>
          <w:p w14:paraId="772F211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8427-2019</w:t>
            </w:r>
          </w:p>
        </w:tc>
      </w:tr>
      <w:tr w14:paraId="4EFD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3744C7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350" w:type="dxa"/>
            <w:vAlign w:val="center"/>
          </w:tcPr>
          <w:p w14:paraId="3CD651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绳带要求</w:t>
            </w:r>
          </w:p>
        </w:tc>
        <w:tc>
          <w:tcPr>
            <w:tcW w:w="4218" w:type="dxa"/>
            <w:vAlign w:val="center"/>
          </w:tcPr>
          <w:p w14:paraId="0F2706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31701-2015</w:t>
            </w:r>
          </w:p>
        </w:tc>
      </w:tr>
      <w:tr w14:paraId="0D04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35D1FB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12</w:t>
            </w:r>
          </w:p>
        </w:tc>
        <w:tc>
          <w:tcPr>
            <w:tcW w:w="3350" w:type="dxa"/>
            <w:vAlign w:val="center"/>
          </w:tcPr>
          <w:p w14:paraId="7CDD2A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附件锐利性</w:t>
            </w:r>
          </w:p>
        </w:tc>
        <w:tc>
          <w:tcPr>
            <w:tcW w:w="4218" w:type="dxa"/>
            <w:vAlign w:val="center"/>
          </w:tcPr>
          <w:p w14:paraId="235B37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GB/T 31702-2015</w:t>
            </w:r>
          </w:p>
        </w:tc>
      </w:tr>
      <w:tr w14:paraId="3647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7" w:type="dxa"/>
            <w:vAlign w:val="center"/>
          </w:tcPr>
          <w:p w14:paraId="300BAF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13</w:t>
            </w:r>
          </w:p>
        </w:tc>
        <w:tc>
          <w:tcPr>
            <w:tcW w:w="3350" w:type="dxa"/>
            <w:vAlign w:val="center"/>
          </w:tcPr>
          <w:p w14:paraId="06174E3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金属针</w:t>
            </w:r>
          </w:p>
        </w:tc>
        <w:tc>
          <w:tcPr>
            <w:tcW w:w="4218" w:type="dxa"/>
            <w:vAlign w:val="center"/>
          </w:tcPr>
          <w:p w14:paraId="1799A9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GB 31701-2015 </w:t>
            </w:r>
          </w:p>
        </w:tc>
      </w:tr>
      <w:tr w14:paraId="474E8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0" w:hRule="atLeast"/>
          <w:jc w:val="center"/>
        </w:trPr>
        <w:tc>
          <w:tcPr>
            <w:tcW w:w="977" w:type="dxa"/>
            <w:vAlign w:val="center"/>
          </w:tcPr>
          <w:p w14:paraId="3F2856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w:t>
            </w:r>
            <w:r>
              <w:rPr>
                <w:rFonts w:hint="eastAsia" w:eastAsia="宋体" w:cs="Times New Roman"/>
                <w:sz w:val="21"/>
                <w:szCs w:val="21"/>
                <w:lang w:val="en-US" w:eastAsia="zh-CN"/>
              </w:rPr>
              <w:t>4</w:t>
            </w:r>
          </w:p>
        </w:tc>
        <w:tc>
          <w:tcPr>
            <w:tcW w:w="3350" w:type="dxa"/>
            <w:vAlign w:val="center"/>
          </w:tcPr>
          <w:p w14:paraId="2D52D91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纤维含量</w:t>
            </w:r>
          </w:p>
        </w:tc>
        <w:tc>
          <w:tcPr>
            <w:tcW w:w="4218" w:type="dxa"/>
            <w:vAlign w:val="center"/>
          </w:tcPr>
          <w:p w14:paraId="4352D6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01057.1-2007、FZ/T 01057.2-2007</w:t>
            </w:r>
          </w:p>
          <w:p w14:paraId="3B1DC9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01057.3-2007、FZ/T 01057.4-2007</w:t>
            </w:r>
          </w:p>
          <w:p w14:paraId="670573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2910.1-2009、GB/T 2910.2-2009</w:t>
            </w:r>
          </w:p>
          <w:p w14:paraId="68BF70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2910.3-2009、GB/T 2910.4-2022</w:t>
            </w:r>
          </w:p>
          <w:p w14:paraId="1CBB8C1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2910.6-2009、GB/T 2910.7-2009</w:t>
            </w:r>
          </w:p>
          <w:p w14:paraId="65F31D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2910.8-2009、GB/T 2910.11-2009</w:t>
            </w:r>
          </w:p>
          <w:p w14:paraId="056399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2910.12-2023、GB/T 2910.18-2009</w:t>
            </w:r>
          </w:p>
          <w:p w14:paraId="56A616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2910.20-2009、GB/T 2910.22-2009</w:t>
            </w:r>
          </w:p>
          <w:p w14:paraId="5FC719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2910.101-2009、GB/T 38015-2019、</w:t>
            </w:r>
          </w:p>
          <w:p w14:paraId="2BFC7F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01101-2008</w:t>
            </w:r>
            <w:r>
              <w:rPr>
                <w:rFonts w:hint="eastAsia" w:eastAsia="宋体" w:cs="Times New Roman"/>
                <w:sz w:val="21"/>
                <w:szCs w:val="21"/>
                <w:lang w:eastAsia="zh-CN"/>
              </w:rPr>
              <w:t>、</w:t>
            </w:r>
            <w:r>
              <w:rPr>
                <w:rFonts w:hint="eastAsia" w:ascii="Times New Roman" w:hAnsi="Times New Roman" w:eastAsia="宋体" w:cs="Times New Roman"/>
                <w:sz w:val="21"/>
                <w:szCs w:val="21"/>
              </w:rPr>
              <w:t>FZ/T 01112-2012</w:t>
            </w:r>
          </w:p>
          <w:p w14:paraId="6C18385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01026-2017</w:t>
            </w:r>
            <w:r>
              <w:rPr>
                <w:rFonts w:hint="eastAsia" w:eastAsia="宋体" w:cs="Times New Roman"/>
                <w:sz w:val="21"/>
                <w:szCs w:val="21"/>
                <w:lang w:eastAsia="zh-CN"/>
              </w:rPr>
              <w:t>、</w:t>
            </w:r>
            <w:r>
              <w:rPr>
                <w:rFonts w:hint="eastAsia" w:ascii="Times New Roman" w:hAnsi="Times New Roman" w:eastAsia="宋体" w:cs="Times New Roman"/>
                <w:sz w:val="21"/>
                <w:szCs w:val="21"/>
              </w:rPr>
              <w:t>FZ/T 30003-2009等</w:t>
            </w:r>
          </w:p>
        </w:tc>
      </w:tr>
      <w:tr w14:paraId="111F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77" w:type="dxa"/>
            <w:vAlign w:val="center"/>
          </w:tcPr>
          <w:p w14:paraId="10615600">
            <w:pPr>
              <w:widowControl/>
              <w:spacing w:before="100" w:beforeAutospacing="1" w:after="100" w:afterAutospacing="1"/>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kern w:val="0"/>
                <w:sz w:val="21"/>
                <w:szCs w:val="21"/>
              </w:rPr>
              <w:t>1</w:t>
            </w:r>
            <w:r>
              <w:rPr>
                <w:rFonts w:hint="eastAsia" w:asciiTheme="majorEastAsia" w:hAnsiTheme="majorEastAsia" w:eastAsiaTheme="majorEastAsia" w:cstheme="majorEastAsia"/>
                <w:kern w:val="0"/>
                <w:sz w:val="21"/>
                <w:szCs w:val="21"/>
                <w:lang w:val="en-US" w:eastAsia="zh-CN"/>
              </w:rPr>
              <w:t>5</w:t>
            </w:r>
          </w:p>
        </w:tc>
        <w:tc>
          <w:tcPr>
            <w:tcW w:w="3350" w:type="dxa"/>
            <w:vAlign w:val="center"/>
          </w:tcPr>
          <w:p w14:paraId="0BB7AD76">
            <w:pPr>
              <w:widowControl/>
              <w:spacing w:before="100" w:beforeAutospacing="1" w:after="100" w:afterAutospacing="1"/>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kern w:val="0"/>
                <w:sz w:val="21"/>
                <w:szCs w:val="21"/>
              </w:rPr>
              <w:t>起球（级）</w:t>
            </w:r>
          </w:p>
        </w:tc>
        <w:tc>
          <w:tcPr>
            <w:tcW w:w="4218" w:type="dxa"/>
            <w:vAlign w:val="center"/>
          </w:tcPr>
          <w:p w14:paraId="476A7838">
            <w:pPr>
              <w:widowControl/>
              <w:spacing w:before="100" w:beforeAutospacing="1" w:after="100" w:afterAutospacing="1"/>
              <w:jc w:val="center"/>
              <w:rPr>
                <w:rFonts w:hint="eastAsia" w:asciiTheme="majorEastAsia" w:hAnsiTheme="majorEastAsia" w:eastAsiaTheme="majorEastAsia" w:cstheme="majorEastAsia"/>
                <w:sz w:val="21"/>
                <w:szCs w:val="21"/>
                <w:lang w:val="en-US" w:eastAsia="zh-CN"/>
              </w:rPr>
            </w:pPr>
            <w:r>
              <w:rPr>
                <w:rFonts w:hint="eastAsia" w:ascii="Times New Roman" w:hAnsi="Times New Roman" w:eastAsia="宋体" w:cs="Times New Roman"/>
                <w:sz w:val="21"/>
                <w:szCs w:val="21"/>
              </w:rPr>
              <w:t>GB/T 4802.1-2008</w:t>
            </w:r>
          </w:p>
        </w:tc>
      </w:tr>
      <w:tr w14:paraId="468C6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77" w:type="dxa"/>
            <w:vAlign w:val="center"/>
          </w:tcPr>
          <w:p w14:paraId="7BD8ABB3">
            <w:pPr>
              <w:adjustRightInd w:val="0"/>
              <w:snapToGrid w:val="0"/>
              <w:jc w:val="center"/>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kern w:val="0"/>
                <w:sz w:val="21"/>
                <w:szCs w:val="21"/>
                <w:lang w:val="en-US" w:eastAsia="zh-CN"/>
              </w:rPr>
              <w:t>16</w:t>
            </w:r>
          </w:p>
        </w:tc>
        <w:tc>
          <w:tcPr>
            <w:tcW w:w="3350" w:type="dxa"/>
            <w:vAlign w:val="center"/>
          </w:tcPr>
          <w:p w14:paraId="0F5BC6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eastAsia="zh-CN"/>
              </w:rPr>
              <w:t>异味</w:t>
            </w:r>
          </w:p>
        </w:tc>
        <w:tc>
          <w:tcPr>
            <w:tcW w:w="4218" w:type="dxa"/>
            <w:vAlign w:val="center"/>
          </w:tcPr>
          <w:p w14:paraId="1BC96E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 18401</w:t>
            </w:r>
          </w:p>
        </w:tc>
      </w:tr>
      <w:tr w14:paraId="7D2DE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45" w:type="dxa"/>
            <w:gridSpan w:val="3"/>
            <w:vAlign w:val="center"/>
          </w:tcPr>
          <w:p w14:paraId="63E8232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p w14:paraId="15A0D1E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1.产品使用说明标注的纤维含量不一致时，应以耐久标签标注的纤维含量进行考核。如果未标注产品主要原材料的纤维成分和含量，则纤维含量项目不判定。</w:t>
            </w:r>
          </w:p>
          <w:p w14:paraId="094337C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2.考虑到样品存在的不均匀性和检验的可靠性，样品中检测出微量其他纤维（未明示）时，如果其他纤维（未明示）的含量≤0.5%，或样品明示含微量其他纤维而未检出时，该微量其他纤维不计入总量进行判定。</w:t>
            </w:r>
          </w:p>
          <w:p w14:paraId="4181EC1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3.色牢度试验采用单纤维贴衬，产品标准另有规定的，按产品标准执行。</w:t>
            </w:r>
          </w:p>
          <w:p w14:paraId="3AE5A88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4.针织产品耐摩擦色牢度只考核直向。</w:t>
            </w:r>
          </w:p>
          <w:p w14:paraId="09C9242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5.本色及漂白产品不考核色牢度（耐光色牢度除外）、可分解致癌芳香胺染料。</w:t>
            </w:r>
          </w:p>
          <w:p w14:paraId="040283B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6.产品未标注产品标准，标注产品标准不正确，或者无法获得明示的有效企业标准时，检测纤维含量以及GB 18401、GB 31701相关项目。</w:t>
            </w:r>
          </w:p>
          <w:p w14:paraId="195709A3">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7.pH值的测定用0.1 mol/L氯化钾溶液作为萃取介质。</w:t>
            </w:r>
          </w:p>
          <w:p w14:paraId="0095257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8.只检测产品相应标准中有考核要求的项目。</w:t>
            </w:r>
          </w:p>
        </w:tc>
      </w:tr>
    </w:tbl>
    <w:p w14:paraId="48AF95B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14:paraId="28708E2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14:paraId="06098A6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14:paraId="3A52076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14:paraId="52AE539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18401-2010   国家纺织产品基本安全技术规范</w:t>
      </w:r>
    </w:p>
    <w:p w14:paraId="3EF1750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31701-2015   婴幼儿及儿童纺织产品安全技术规范</w:t>
      </w:r>
    </w:p>
    <w:p w14:paraId="2DBCC9C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31888-2015 中小学生校服</w:t>
      </w:r>
    </w:p>
    <w:p w14:paraId="52C5A05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22854-2009 针织学生服</w:t>
      </w:r>
    </w:p>
    <w:p w14:paraId="0E2787A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23328-2009 机织学生服</w:t>
      </w:r>
    </w:p>
    <w:p w14:paraId="6B81A78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2662-2017  棉服装</w:t>
      </w:r>
    </w:p>
    <w:p w14:paraId="76770DC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29862-2013 纺织品纤维含量的标识</w:t>
      </w:r>
    </w:p>
    <w:p w14:paraId="219001D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31900-2015 机织儿童服装</w:t>
      </w:r>
    </w:p>
    <w:p w14:paraId="103AE4D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73020-2019 针织休闲服装</w:t>
      </w:r>
    </w:p>
    <w:p w14:paraId="5E3B522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73005-2021 低含毛混纺及仿毛针织品</w:t>
      </w:r>
    </w:p>
    <w:p w14:paraId="37F2F2E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73010-2016 针织工艺衫</w:t>
      </w:r>
    </w:p>
    <w:p w14:paraId="40090CA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73018-2021 毛针织品</w:t>
      </w:r>
    </w:p>
    <w:p w14:paraId="04B2939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81007-2022 单、夹服装</w:t>
      </w:r>
    </w:p>
    <w:p w14:paraId="15ED6E3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81004-2022 连衣裙、裙套</w:t>
      </w:r>
    </w:p>
    <w:p w14:paraId="4F74DB9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14:paraId="246B9AB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14:paraId="0CDAD64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14:paraId="031CFF54">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14:paraId="44278677">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14:paraId="2289A9C4">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14:paraId="7846D381">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14:paraId="415683E3">
      <w:pPr>
        <w:keepNext w:val="0"/>
        <w:keepLines w:val="0"/>
        <w:pageBreakBefore w:val="0"/>
        <w:widowControl w:val="0"/>
        <w:kinsoku/>
        <w:wordWrap/>
        <w:overflowPunct/>
        <w:topLinePunct w:val="0"/>
        <w:autoSpaceDE/>
        <w:autoSpaceDN/>
        <w:bidi w:val="0"/>
        <w:adjustRightInd/>
        <w:snapToGrid/>
        <w:spacing w:line="58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14:paraId="5F0705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B41012"/>
    <w:rsid w:val="5DB41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2025-07-31T01:45:00Z</dcterms:created>
  <dc:creator>WPS_1652412739</dc:creator>
  <cp:lastModifiedBy>WPS_1652412739</cp:lastModifiedBy>
  <dcterms:modified xsi:type="dcterms:W3CDTF">2025-07-31T01:45:34Z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A10D4333C68142B3A6F6E44739FA1A4D_11</vt:lpwstr>
  </property>
  <property fmtid="{D5CDD505-2E9C-101B-9397-08002B2CF9AE}" pid="4" name="KSOTemplateDocerSaveRecord">
    <vt:lpwstr>eyJoZGlkIjoiMTk1ODUwNzE5ODYyNjYyOTViOWExNTY3ZTQ4OWQ1M2EiLCJ1c2VySWQiOiIxMzY5NjE5Mzc5In0=</vt:lpwstr>
  </property>
</Properties>
</file>