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bCs/>
          <w:szCs w:val="32"/>
          <w:shd w:val="clear" w:color="auto" w:fill="FFFFFF"/>
          <w:lang w:bidi="ar"/>
        </w:rPr>
      </w:pPr>
      <w:r>
        <w:rPr>
          <w:rFonts w:hint="eastAsia" w:ascii="仿宋_GB2312" w:hAnsi="仿宋_GB2312" w:cs="仿宋_GB2312"/>
          <w:bCs/>
          <w:szCs w:val="32"/>
          <w:shd w:val="clear" w:color="auto" w:fill="FFFFFF"/>
          <w:lang w:bidi="ar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bidi="ar"/>
        </w:rPr>
        <w:t>广东省食品、食品相关产品生产监督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bidi="ar"/>
        </w:rPr>
        <w:t>管理动态信息表</w:t>
      </w:r>
    </w:p>
    <w:bookmarkEnd w:id="0"/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lang w:bidi="ar"/>
        </w:rPr>
        <w:t>填报单位：                                     统计周期:   月  日-  月 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080"/>
        <w:gridCol w:w="1755"/>
        <w:gridCol w:w="4305"/>
        <w:gridCol w:w="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分类</w:t>
            </w: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统计项目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食品生产加工主体情况</w:t>
            </w: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食品生产加工单位总数（家）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食品生产加工企业数（家）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食品生产加工小作坊数（家）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新增取得许可证食品生产加工企业数(家)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吊销食品生产许可证证书数(张）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注销食品生产许可证证书数(张）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大型食品生产企业数（家）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实施良好生产规范、卫生标准操作程序、危害分析关键控制点等先进质量管理规范企业数（家）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监督检查情况</w:t>
            </w: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完成年度自查企业数（家）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监督检查企业数（家）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其中：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检查结果为“符合”的企业数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检查结果为“基本符合”的企业数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检查结果为“不符合”的企业数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下达《责令改正通知书》数（个）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立案调查企业数（家）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移交公安企业数（家）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约谈企业数（家）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今年累计尚未复查整改企业数量（家）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风险分级管理情况</w:t>
            </w: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A级企业数（家）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B级企业数（家)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C级企业数（家）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D级企业数（家）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食品相关产品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食品相关产品生产加工单位总数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取得许可证生产企业数(家)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未纳入生产许可产品生产企业数（家）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监督抽查情况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抽查企业数（家）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抽查产品总批次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不合格企业数（家）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不合格产品批次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合格率（%）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整改复查合格企业数（家）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移送稽查企业数（家）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累计尚未复查整改企业数量（家）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监督检查情况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检查企业数（家）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下达《责令整改通知书》数（个）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移送稽查企业数（家）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风险监测情况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监测产品总批次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发现问题产品批次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已调查处理风险监测涉及的问题企业数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注：大型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食品生产企业是指从业人员≥1000人单体工厂或营业收入≥4亿元的单体工厂，营业收入≥4亿元的集团公司（含集团公司下属子公司），以及在行业内具有领先地位的食品生产企业。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49EC"/>
    <w:rsid w:val="52C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eastAsia="宋体" w:cs="Times New Roman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2022-03-24T03:57:00Z</dcterms:created>
  <dc:creator>吴扬婷</dc:creator>
  <cp:lastModifiedBy>吴扬婷</cp:lastModifiedBy>
  <dcterms:modified xsi:type="dcterms:W3CDTF">2022-03-24T03:59:23Z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3471DD31E74C4E93A974F840AEC39101</vt:lpwstr>
  </property>
</Properties>
</file>